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6" w:type="dxa"/>
        <w:tblInd w:w="108" w:type="dxa"/>
        <w:tblLook w:val="04A0" w:firstRow="1" w:lastRow="0" w:firstColumn="1" w:lastColumn="0" w:noHBand="0" w:noVBand="1"/>
      </w:tblPr>
      <w:tblGrid>
        <w:gridCol w:w="3954"/>
        <w:gridCol w:w="5332"/>
      </w:tblGrid>
      <w:tr w:rsidR="006F37D0" w:rsidRPr="00A97263" w14:paraId="020D20BE" w14:textId="77777777" w:rsidTr="00F26854">
        <w:trPr>
          <w:trHeight w:val="1757"/>
        </w:trPr>
        <w:tc>
          <w:tcPr>
            <w:tcW w:w="3369" w:type="dxa"/>
            <w:tcBorders>
              <w:left w:val="single" w:sz="48" w:space="0" w:color="BC9E6E"/>
            </w:tcBorders>
            <w:shd w:val="clear" w:color="auto" w:fill="auto"/>
            <w:vAlign w:val="center"/>
          </w:tcPr>
          <w:p w14:paraId="322F21A0" w14:textId="77777777" w:rsidR="00C711D6" w:rsidRPr="00A97263" w:rsidRDefault="00B112AF" w:rsidP="006A118C">
            <w:pPr>
              <w:pStyle w:val="Heading6"/>
              <w:rPr>
                <w:noProof/>
                <w:lang w:eastAsia="en-GB"/>
              </w:rPr>
            </w:pPr>
            <w:r w:rsidRPr="00A97263">
              <w:rPr>
                <w:noProof/>
                <w:lang w:val="en-US" w:eastAsia="en-US"/>
              </w:rPr>
              <w:drawing>
                <wp:inline distT="0" distB="0" distL="0" distR="0" wp14:anchorId="1E3A04AF" wp14:editId="32D25F54">
                  <wp:extent cx="1617345" cy="873760"/>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345" cy="873760"/>
                          </a:xfrm>
                          <a:prstGeom prst="rect">
                            <a:avLst/>
                          </a:prstGeom>
                          <a:noFill/>
                          <a:ln>
                            <a:noFill/>
                          </a:ln>
                        </pic:spPr>
                      </pic:pic>
                    </a:graphicData>
                  </a:graphic>
                </wp:inline>
              </w:drawing>
            </w:r>
          </w:p>
        </w:tc>
        <w:tc>
          <w:tcPr>
            <w:tcW w:w="5917" w:type="dxa"/>
            <w:shd w:val="clear" w:color="auto" w:fill="auto"/>
          </w:tcPr>
          <w:p w14:paraId="5529D409" w14:textId="77777777" w:rsidR="00375D2B" w:rsidRPr="00A97263" w:rsidRDefault="00375D2B" w:rsidP="00375D2B">
            <w:pPr>
              <w:pStyle w:val="Heading1"/>
              <w:jc w:val="right"/>
              <w:rPr>
                <w:b/>
                <w:i w:val="0"/>
                <w:noProof/>
                <w:sz w:val="32"/>
                <w:szCs w:val="22"/>
                <w:u w:val="none"/>
                <w:lang w:eastAsia="en-GB"/>
              </w:rPr>
            </w:pPr>
          </w:p>
          <w:p w14:paraId="40B8401A" w14:textId="77777777" w:rsidR="00375D2B" w:rsidRPr="00A97263" w:rsidRDefault="00375D2B" w:rsidP="00375D2B">
            <w:pPr>
              <w:pStyle w:val="Heading1"/>
              <w:jc w:val="right"/>
              <w:rPr>
                <w:b/>
                <w:i w:val="0"/>
                <w:noProof/>
                <w:color w:val="00205B"/>
                <w:sz w:val="28"/>
                <w:szCs w:val="22"/>
                <w:u w:val="none"/>
                <w:lang w:eastAsia="en-GB"/>
              </w:rPr>
            </w:pPr>
            <w:r w:rsidRPr="00A97263">
              <w:rPr>
                <w:b/>
                <w:i w:val="0"/>
                <w:noProof/>
                <w:color w:val="00205B"/>
                <w:sz w:val="28"/>
                <w:szCs w:val="22"/>
                <w:u w:val="none"/>
                <w:lang w:eastAsia="en-GB"/>
              </w:rPr>
              <w:t xml:space="preserve">ΔΕΛΤΙΟ ΤΥΠΟΥ </w:t>
            </w:r>
          </w:p>
          <w:p w14:paraId="777FEF52" w14:textId="2EFA0D92" w:rsidR="00C711D6" w:rsidRPr="00A97263" w:rsidRDefault="00293D3D" w:rsidP="00DF47F2">
            <w:pPr>
              <w:pStyle w:val="Heading1"/>
              <w:ind w:firstLine="0"/>
              <w:jc w:val="right"/>
              <w:rPr>
                <w:i w:val="0"/>
                <w:noProof/>
                <w:szCs w:val="22"/>
                <w:u w:val="none"/>
                <w:lang w:eastAsia="en-GB"/>
              </w:rPr>
            </w:pPr>
            <w:r w:rsidRPr="00A97263">
              <w:rPr>
                <w:i w:val="0"/>
                <w:noProof/>
                <w:color w:val="00205B"/>
                <w:szCs w:val="22"/>
                <w:u w:val="none"/>
                <w:lang w:eastAsia="en-GB"/>
              </w:rPr>
              <w:t xml:space="preserve">Αθήνα, </w:t>
            </w:r>
            <w:r w:rsidR="00F24AA0" w:rsidRPr="006055C8">
              <w:rPr>
                <w:i w:val="0"/>
                <w:noProof/>
                <w:color w:val="00205B"/>
                <w:szCs w:val="22"/>
                <w:u w:val="none"/>
                <w:lang w:eastAsia="en-GB"/>
              </w:rPr>
              <w:t>15 Μα</w:t>
            </w:r>
            <w:r w:rsidR="00BB1FE2">
              <w:rPr>
                <w:i w:val="0"/>
                <w:noProof/>
                <w:color w:val="00205B"/>
                <w:szCs w:val="22"/>
                <w:u w:val="none"/>
                <w:lang w:eastAsia="en-GB"/>
              </w:rPr>
              <w:t>ΐ</w:t>
            </w:r>
            <w:r w:rsidR="00F24AA0" w:rsidRPr="006055C8">
              <w:rPr>
                <w:i w:val="0"/>
                <w:noProof/>
                <w:color w:val="00205B"/>
                <w:szCs w:val="22"/>
                <w:u w:val="none"/>
                <w:lang w:eastAsia="en-GB"/>
              </w:rPr>
              <w:t>ου</w:t>
            </w:r>
            <w:r w:rsidR="00F24AA0">
              <w:rPr>
                <w:i w:val="0"/>
                <w:noProof/>
                <w:color w:val="00205B"/>
                <w:szCs w:val="22"/>
                <w:u w:val="none"/>
                <w:lang w:eastAsia="en-GB"/>
              </w:rPr>
              <w:t xml:space="preserve"> </w:t>
            </w:r>
            <w:r w:rsidR="00375D2B" w:rsidRPr="00A97263">
              <w:rPr>
                <w:i w:val="0"/>
                <w:noProof/>
                <w:color w:val="00205B"/>
                <w:szCs w:val="22"/>
                <w:u w:val="none"/>
                <w:lang w:eastAsia="en-GB"/>
              </w:rPr>
              <w:t>202</w:t>
            </w:r>
            <w:r w:rsidR="00F24AA0">
              <w:rPr>
                <w:i w:val="0"/>
                <w:noProof/>
                <w:color w:val="00205B"/>
                <w:szCs w:val="22"/>
                <w:u w:val="none"/>
                <w:lang w:eastAsia="en-GB"/>
              </w:rPr>
              <w:t>5</w:t>
            </w:r>
          </w:p>
        </w:tc>
      </w:tr>
    </w:tbl>
    <w:p w14:paraId="4CADC78E" w14:textId="77777777" w:rsidR="00C711D6" w:rsidRPr="00A97263" w:rsidRDefault="00C711D6" w:rsidP="00863CCE">
      <w:pPr>
        <w:pStyle w:val="Heading1"/>
        <w:spacing w:line="276" w:lineRule="auto"/>
        <w:ind w:firstLine="0"/>
        <w:rPr>
          <w:i w:val="0"/>
          <w:noProof/>
          <w:szCs w:val="22"/>
          <w:u w:val="none"/>
          <w:lang w:eastAsia="en-GB"/>
        </w:rPr>
      </w:pPr>
    </w:p>
    <w:p w14:paraId="7F9D6797" w14:textId="3D6C52FC" w:rsidR="00906441" w:rsidRPr="00A97263" w:rsidRDefault="00293D3D" w:rsidP="00F25B96">
      <w:pPr>
        <w:pStyle w:val="Heading6"/>
        <w:tabs>
          <w:tab w:val="left" w:pos="4680"/>
          <w:tab w:val="left" w:pos="8100"/>
        </w:tabs>
        <w:spacing w:after="120" w:line="276" w:lineRule="auto"/>
        <w:ind w:left="0" w:right="-2"/>
        <w:rPr>
          <w:b/>
          <w:i w:val="0"/>
          <w:color w:val="00205B"/>
          <w:sz w:val="32"/>
          <w:szCs w:val="32"/>
        </w:rPr>
      </w:pPr>
      <w:r w:rsidRPr="00A97263">
        <w:rPr>
          <w:b/>
          <w:i w:val="0"/>
          <w:color w:val="00205B"/>
          <w:sz w:val="32"/>
          <w:szCs w:val="32"/>
        </w:rPr>
        <w:t xml:space="preserve">Έκθεση Χρηματοπιστωτικής Σταθερότητας </w:t>
      </w:r>
      <w:r w:rsidR="00DF47F2" w:rsidRPr="00A97263">
        <w:rPr>
          <w:b/>
          <w:i w:val="0"/>
          <w:color w:val="00205B"/>
          <w:sz w:val="32"/>
          <w:szCs w:val="32"/>
        </w:rPr>
        <w:t xml:space="preserve">– </w:t>
      </w:r>
      <w:r w:rsidR="00F24AA0">
        <w:rPr>
          <w:b/>
          <w:i w:val="0"/>
          <w:color w:val="00205B"/>
          <w:sz w:val="32"/>
          <w:szCs w:val="32"/>
        </w:rPr>
        <w:t>Μάιος</w:t>
      </w:r>
      <w:r w:rsidR="00310BDF" w:rsidRPr="00A97263">
        <w:rPr>
          <w:b/>
          <w:i w:val="0"/>
          <w:color w:val="00205B"/>
          <w:sz w:val="32"/>
          <w:szCs w:val="32"/>
        </w:rPr>
        <w:t xml:space="preserve"> </w:t>
      </w:r>
      <w:r w:rsidR="0033210B" w:rsidRPr="00A97263">
        <w:rPr>
          <w:b/>
          <w:i w:val="0"/>
          <w:color w:val="00205B"/>
          <w:sz w:val="32"/>
          <w:szCs w:val="32"/>
        </w:rPr>
        <w:t>202</w:t>
      </w:r>
      <w:r w:rsidR="00F24AA0">
        <w:rPr>
          <w:b/>
          <w:i w:val="0"/>
          <w:color w:val="00205B"/>
          <w:sz w:val="32"/>
          <w:szCs w:val="32"/>
        </w:rPr>
        <w:t>5</w:t>
      </w:r>
    </w:p>
    <w:p w14:paraId="5225B534" w14:textId="77777777" w:rsidR="00F10F0D" w:rsidRPr="006D4A5D" w:rsidRDefault="00F10F0D" w:rsidP="000A01CF">
      <w:pPr>
        <w:rPr>
          <w:lang w:val="el-GR"/>
        </w:rPr>
      </w:pPr>
    </w:p>
    <w:p w14:paraId="2FFFA625" w14:textId="704D1675" w:rsidR="006D4A5D" w:rsidRDefault="00C33541" w:rsidP="00D75098">
      <w:pPr>
        <w:numPr>
          <w:ilvl w:val="0"/>
          <w:numId w:val="5"/>
        </w:numPr>
        <w:spacing w:line="360" w:lineRule="auto"/>
        <w:ind w:left="284"/>
        <w:jc w:val="both"/>
        <w:rPr>
          <w:sz w:val="22"/>
          <w:szCs w:val="22"/>
          <w:lang w:val="el-GR"/>
        </w:rPr>
      </w:pPr>
      <w:r w:rsidRPr="006D4A5D">
        <w:rPr>
          <w:sz w:val="22"/>
          <w:szCs w:val="22"/>
          <w:lang w:val="el-GR"/>
        </w:rPr>
        <w:t xml:space="preserve">Οι κίνδυνοι για τη χρηματοπιστωτική σταθερότητα στην Ελλάδα είναι κυρίως εξωγενείς, </w:t>
      </w:r>
      <w:r w:rsidR="008025DB">
        <w:rPr>
          <w:sz w:val="22"/>
          <w:szCs w:val="22"/>
          <w:lang w:val="el-GR"/>
        </w:rPr>
        <w:t>προερχόμενοι</w:t>
      </w:r>
      <w:r w:rsidR="006D4A5D" w:rsidRPr="006D4A5D">
        <w:rPr>
          <w:sz w:val="22"/>
          <w:szCs w:val="22"/>
          <w:lang w:val="el-GR"/>
        </w:rPr>
        <w:t xml:space="preserve"> από την αύξηση των γεωπολιτικών εντάσεων και την άνοδο του </w:t>
      </w:r>
      <w:r w:rsidR="00B27428">
        <w:rPr>
          <w:sz w:val="22"/>
          <w:szCs w:val="22"/>
          <w:lang w:val="el-GR"/>
        </w:rPr>
        <w:t xml:space="preserve">εμπορικού </w:t>
      </w:r>
      <w:r w:rsidR="006D4A5D" w:rsidRPr="006D4A5D">
        <w:rPr>
          <w:sz w:val="22"/>
          <w:szCs w:val="22"/>
          <w:lang w:val="el-GR"/>
        </w:rPr>
        <w:t>προστατευτισμού.</w:t>
      </w:r>
    </w:p>
    <w:p w14:paraId="6AEAF99D" w14:textId="348A6C32" w:rsidR="00F60600" w:rsidRDefault="00E81B6E" w:rsidP="00AC08F5">
      <w:pPr>
        <w:numPr>
          <w:ilvl w:val="0"/>
          <w:numId w:val="5"/>
        </w:numPr>
        <w:spacing w:line="360" w:lineRule="auto"/>
        <w:ind w:left="284"/>
        <w:jc w:val="both"/>
        <w:rPr>
          <w:sz w:val="22"/>
          <w:szCs w:val="22"/>
          <w:lang w:val="el-GR"/>
        </w:rPr>
      </w:pPr>
      <w:r>
        <w:rPr>
          <w:sz w:val="22"/>
          <w:szCs w:val="22"/>
          <w:lang w:val="el-GR"/>
        </w:rPr>
        <w:t xml:space="preserve">Η ελληνική οικονομία αναμένεται </w:t>
      </w:r>
      <w:r w:rsidR="00156FCD">
        <w:rPr>
          <w:sz w:val="22"/>
          <w:szCs w:val="22"/>
          <w:lang w:val="el-GR"/>
        </w:rPr>
        <w:t>να επηρεαστ</w:t>
      </w:r>
      <w:r>
        <w:rPr>
          <w:sz w:val="22"/>
          <w:szCs w:val="22"/>
          <w:lang w:val="el-GR"/>
        </w:rPr>
        <w:t xml:space="preserve">εί </w:t>
      </w:r>
      <w:r w:rsidR="008025DB">
        <w:rPr>
          <w:sz w:val="22"/>
          <w:szCs w:val="22"/>
          <w:lang w:val="el-GR"/>
        </w:rPr>
        <w:t xml:space="preserve">κυρίως </w:t>
      </w:r>
      <w:r w:rsidR="00156FCD">
        <w:rPr>
          <w:sz w:val="22"/>
          <w:szCs w:val="22"/>
          <w:lang w:val="el-GR"/>
        </w:rPr>
        <w:t>έμμεσα</w:t>
      </w:r>
      <w:r w:rsidR="00BB1FE2">
        <w:rPr>
          <w:sz w:val="22"/>
          <w:szCs w:val="22"/>
          <w:lang w:val="el-GR"/>
        </w:rPr>
        <w:t>,</w:t>
      </w:r>
      <w:r w:rsidR="00156FCD">
        <w:rPr>
          <w:sz w:val="22"/>
          <w:szCs w:val="22"/>
          <w:lang w:val="el-GR"/>
        </w:rPr>
        <w:t xml:space="preserve"> από </w:t>
      </w:r>
      <w:r w:rsidR="00B225F2">
        <w:rPr>
          <w:sz w:val="22"/>
          <w:szCs w:val="22"/>
          <w:lang w:val="el-GR"/>
        </w:rPr>
        <w:t>ενδεχόμενη</w:t>
      </w:r>
      <w:r w:rsidR="00B225F2" w:rsidRPr="00156FCD">
        <w:rPr>
          <w:lang w:val="el-GR"/>
        </w:rPr>
        <w:t xml:space="preserve"> </w:t>
      </w:r>
      <w:r w:rsidR="00156FCD" w:rsidRPr="00156FCD">
        <w:rPr>
          <w:sz w:val="22"/>
          <w:szCs w:val="22"/>
          <w:lang w:val="el-GR"/>
        </w:rPr>
        <w:t xml:space="preserve">επιβράδυνση του ρυθμού ανάπτυξης της παγκόσμιας </w:t>
      </w:r>
      <w:r w:rsidR="00382AEB">
        <w:rPr>
          <w:sz w:val="22"/>
          <w:szCs w:val="22"/>
          <w:lang w:val="el-GR"/>
        </w:rPr>
        <w:t xml:space="preserve">και </w:t>
      </w:r>
      <w:r w:rsidR="00537499">
        <w:rPr>
          <w:sz w:val="22"/>
          <w:szCs w:val="22"/>
          <w:lang w:val="el-GR"/>
        </w:rPr>
        <w:t>ε</w:t>
      </w:r>
      <w:r w:rsidR="00382AEB">
        <w:rPr>
          <w:sz w:val="22"/>
          <w:szCs w:val="22"/>
          <w:lang w:val="el-GR"/>
        </w:rPr>
        <w:t xml:space="preserve">υρωπαϊκής </w:t>
      </w:r>
      <w:r w:rsidR="00156FCD" w:rsidRPr="00156FCD">
        <w:rPr>
          <w:sz w:val="22"/>
          <w:szCs w:val="22"/>
          <w:lang w:val="el-GR"/>
        </w:rPr>
        <w:t>οικονομίας</w:t>
      </w:r>
      <w:r w:rsidR="006A78C6" w:rsidRPr="006A78C6">
        <w:rPr>
          <w:sz w:val="22"/>
          <w:szCs w:val="22"/>
          <w:lang w:val="el-GR"/>
        </w:rPr>
        <w:t>,</w:t>
      </w:r>
      <w:r w:rsidR="008025DB">
        <w:rPr>
          <w:sz w:val="22"/>
          <w:szCs w:val="22"/>
          <w:lang w:val="el-GR"/>
        </w:rPr>
        <w:t xml:space="preserve"> και</w:t>
      </w:r>
      <w:r w:rsidR="00156FCD" w:rsidRPr="00156FCD">
        <w:rPr>
          <w:sz w:val="22"/>
          <w:szCs w:val="22"/>
          <w:lang w:val="el-GR"/>
        </w:rPr>
        <w:t xml:space="preserve"> </w:t>
      </w:r>
      <w:r w:rsidR="00156FCD">
        <w:rPr>
          <w:sz w:val="22"/>
          <w:szCs w:val="22"/>
          <w:lang w:val="el-GR"/>
        </w:rPr>
        <w:t xml:space="preserve">επιβάρυνση του επενδυτικού </w:t>
      </w:r>
      <w:r w:rsidR="006055C8">
        <w:rPr>
          <w:sz w:val="22"/>
          <w:szCs w:val="22"/>
          <w:lang w:val="el-GR"/>
        </w:rPr>
        <w:t>κλίματος</w:t>
      </w:r>
      <w:r w:rsidR="00F60600">
        <w:rPr>
          <w:sz w:val="22"/>
          <w:szCs w:val="22"/>
          <w:lang w:val="el-GR"/>
        </w:rPr>
        <w:t>.</w:t>
      </w:r>
    </w:p>
    <w:p w14:paraId="70802A24" w14:textId="2C018805" w:rsidR="006D4A5D" w:rsidRPr="006D4A5D" w:rsidRDefault="00A0696D" w:rsidP="0093239E">
      <w:pPr>
        <w:numPr>
          <w:ilvl w:val="0"/>
          <w:numId w:val="5"/>
        </w:numPr>
        <w:spacing w:line="360" w:lineRule="auto"/>
        <w:ind w:left="284"/>
        <w:jc w:val="both"/>
        <w:rPr>
          <w:sz w:val="22"/>
          <w:szCs w:val="22"/>
          <w:lang w:val="el-GR"/>
        </w:rPr>
      </w:pPr>
      <w:r w:rsidRPr="006D4A5D">
        <w:rPr>
          <w:sz w:val="22"/>
          <w:szCs w:val="22"/>
          <w:lang w:val="el-GR"/>
        </w:rPr>
        <w:t xml:space="preserve">Το </w:t>
      </w:r>
      <w:r w:rsidR="00DD7E54" w:rsidRPr="006D4A5D">
        <w:rPr>
          <w:sz w:val="22"/>
          <w:szCs w:val="22"/>
          <w:lang w:val="el-GR"/>
        </w:rPr>
        <w:t>2024</w:t>
      </w:r>
      <w:r w:rsidR="006B2FEB">
        <w:rPr>
          <w:sz w:val="22"/>
          <w:szCs w:val="22"/>
          <w:lang w:val="el-GR"/>
        </w:rPr>
        <w:t>,</w:t>
      </w:r>
      <w:r w:rsidR="006F09F3" w:rsidRPr="006D4A5D">
        <w:rPr>
          <w:sz w:val="22"/>
          <w:szCs w:val="22"/>
          <w:lang w:val="el-GR"/>
        </w:rPr>
        <w:t xml:space="preserve"> οι ελληνικές τράπεζες </w:t>
      </w:r>
      <w:r w:rsidR="008025DB">
        <w:rPr>
          <w:sz w:val="22"/>
          <w:szCs w:val="22"/>
          <w:lang w:val="el-GR"/>
        </w:rPr>
        <w:t>βελτίωσαν</w:t>
      </w:r>
      <w:r w:rsidR="008025DB" w:rsidRPr="006D4A5D">
        <w:rPr>
          <w:sz w:val="22"/>
          <w:szCs w:val="22"/>
          <w:lang w:val="el-GR"/>
        </w:rPr>
        <w:t xml:space="preserve"> </w:t>
      </w:r>
      <w:r w:rsidR="006D4A5D" w:rsidRPr="006D4A5D">
        <w:rPr>
          <w:sz w:val="22"/>
          <w:szCs w:val="22"/>
          <w:lang w:val="el-GR"/>
        </w:rPr>
        <w:t xml:space="preserve">περαιτέρω τα θεμελιώδη τους μεγέθη, ενισχύοντας </w:t>
      </w:r>
      <w:r w:rsidR="006F09F3" w:rsidRPr="006D4A5D">
        <w:rPr>
          <w:sz w:val="22"/>
          <w:szCs w:val="22"/>
          <w:lang w:val="el-GR"/>
        </w:rPr>
        <w:t>σημαντικά την κερδοφορία</w:t>
      </w:r>
      <w:r w:rsidR="006D4A5D" w:rsidRPr="006D4A5D">
        <w:rPr>
          <w:sz w:val="22"/>
          <w:szCs w:val="22"/>
          <w:lang w:val="el-GR"/>
        </w:rPr>
        <w:t xml:space="preserve"> και </w:t>
      </w:r>
      <w:r w:rsidR="00B225F2">
        <w:rPr>
          <w:sz w:val="22"/>
          <w:szCs w:val="22"/>
          <w:lang w:val="el-GR"/>
        </w:rPr>
        <w:t xml:space="preserve">την </w:t>
      </w:r>
      <w:r w:rsidR="00800120" w:rsidRPr="006D4A5D">
        <w:rPr>
          <w:sz w:val="22"/>
          <w:szCs w:val="22"/>
          <w:lang w:val="el-GR"/>
        </w:rPr>
        <w:t>κεφαλαιακή τους επάρκεια</w:t>
      </w:r>
      <w:r w:rsidR="006D4A5D" w:rsidRPr="006D4A5D">
        <w:rPr>
          <w:sz w:val="22"/>
          <w:szCs w:val="22"/>
          <w:lang w:val="el-GR"/>
        </w:rPr>
        <w:t xml:space="preserve">, </w:t>
      </w:r>
      <w:r w:rsidR="004E7531" w:rsidRPr="006D4A5D">
        <w:rPr>
          <w:sz w:val="22"/>
          <w:szCs w:val="22"/>
          <w:lang w:val="el-GR"/>
        </w:rPr>
        <w:t xml:space="preserve">διατηρώντας τη ρευστότητα σε υψηλό επίπεδο </w:t>
      </w:r>
      <w:r w:rsidR="004E7531">
        <w:rPr>
          <w:sz w:val="22"/>
          <w:szCs w:val="22"/>
          <w:lang w:val="el-GR"/>
        </w:rPr>
        <w:t xml:space="preserve">και </w:t>
      </w:r>
      <w:r w:rsidR="006D4A5D" w:rsidRPr="006D4A5D">
        <w:rPr>
          <w:sz w:val="22"/>
          <w:szCs w:val="22"/>
          <w:lang w:val="el-GR"/>
        </w:rPr>
        <w:t>βελτιώνοντας περαιτέρω την ποιότητα των στοιχείων του ενεργητικού τους.</w:t>
      </w:r>
    </w:p>
    <w:p w14:paraId="44E5130C" w14:textId="77777777" w:rsidR="00276886" w:rsidRPr="00F24AA0" w:rsidRDefault="00824C25" w:rsidP="007F3270">
      <w:pPr>
        <w:spacing w:before="240" w:line="360" w:lineRule="auto"/>
        <w:jc w:val="both"/>
        <w:rPr>
          <w:rFonts w:eastAsia="Calibri"/>
          <w:color w:val="auto"/>
          <w:sz w:val="22"/>
          <w:szCs w:val="22"/>
          <w:lang w:val="el-GR" w:eastAsia="en-US"/>
        </w:rPr>
      </w:pPr>
      <w:r w:rsidRPr="00F24AA0">
        <w:rPr>
          <w:rFonts w:eastAsia="Calibri"/>
          <w:color w:val="auto"/>
          <w:sz w:val="22"/>
          <w:szCs w:val="22"/>
          <w:lang w:val="el-GR" w:eastAsia="en-US"/>
        </w:rPr>
        <w:t xml:space="preserve">Αναρτήθηκε σήμερα στον </w:t>
      </w:r>
      <w:proofErr w:type="spellStart"/>
      <w:r w:rsidRPr="00F24AA0">
        <w:rPr>
          <w:rFonts w:eastAsia="Calibri"/>
          <w:color w:val="auto"/>
          <w:sz w:val="22"/>
          <w:szCs w:val="22"/>
          <w:lang w:val="el-GR" w:eastAsia="en-US"/>
        </w:rPr>
        <w:t>ιστοχώρο</w:t>
      </w:r>
      <w:proofErr w:type="spellEnd"/>
      <w:r w:rsidRPr="00F24AA0">
        <w:rPr>
          <w:rFonts w:eastAsia="Calibri"/>
          <w:color w:val="auto"/>
          <w:sz w:val="22"/>
          <w:szCs w:val="22"/>
          <w:lang w:val="el-GR" w:eastAsia="en-US"/>
        </w:rPr>
        <w:t xml:space="preserve"> της Τράπεζας της Ελλάδος η Έκθεση Χρηματοπιστωτικής Σταθερότητας, η οποία δημοσιεύεται δύο φορές το χρόνο από τη Διεύθυνση Χρηματοπιστωτικής Σταθερότητας. </w:t>
      </w:r>
    </w:p>
    <w:p w14:paraId="23187D9E" w14:textId="3D657EE0" w:rsidR="00240210" w:rsidRPr="00F24AA0" w:rsidRDefault="00276886" w:rsidP="007C7317">
      <w:pPr>
        <w:spacing w:before="240" w:line="360" w:lineRule="auto"/>
        <w:jc w:val="both"/>
        <w:rPr>
          <w:rFonts w:eastAsia="Calibri"/>
          <w:color w:val="auto"/>
          <w:sz w:val="22"/>
          <w:szCs w:val="22"/>
          <w:lang w:val="el-GR" w:eastAsia="en-US"/>
        </w:rPr>
      </w:pPr>
      <w:r w:rsidRPr="00F24AA0">
        <w:rPr>
          <w:rFonts w:eastAsia="Calibri"/>
          <w:color w:val="auto"/>
          <w:sz w:val="22"/>
          <w:szCs w:val="22"/>
          <w:lang w:val="el-GR" w:eastAsia="en-US"/>
        </w:rPr>
        <w:t xml:space="preserve">Η Έκθεση Χρηματοπιστωτικής Σταθερότητας </w:t>
      </w:r>
      <w:r w:rsidR="008E25AA" w:rsidRPr="00F24AA0">
        <w:rPr>
          <w:rFonts w:eastAsia="Calibri"/>
          <w:color w:val="auto"/>
          <w:sz w:val="22"/>
          <w:szCs w:val="22"/>
          <w:lang w:val="el-GR" w:eastAsia="en-US"/>
        </w:rPr>
        <w:t>εξετάζει τις εξελίξεις στο μακροοικονομικό και χρηματοπιστωτικό περιβάλλον, αξιολογεί τους κινδύνους και την ανθεκτικότητα του τραπεζικού τομέα, των ασφαλιστικών επιχειρήσεων και των λοιπών τομέων του χρηματοπιστωτικού συστήματος</w:t>
      </w:r>
      <w:r w:rsidR="00B52A06" w:rsidRPr="00F24AA0">
        <w:rPr>
          <w:rFonts w:eastAsia="Calibri"/>
          <w:color w:val="auto"/>
          <w:sz w:val="22"/>
          <w:szCs w:val="22"/>
          <w:lang w:val="el-GR" w:eastAsia="en-US"/>
        </w:rPr>
        <w:t xml:space="preserve"> </w:t>
      </w:r>
      <w:r w:rsidRPr="00F24AA0">
        <w:rPr>
          <w:rFonts w:eastAsia="Calibri"/>
          <w:color w:val="auto"/>
          <w:sz w:val="22"/>
          <w:szCs w:val="22"/>
          <w:lang w:val="el-GR" w:eastAsia="en-US"/>
        </w:rPr>
        <w:t xml:space="preserve">και αναλύει </w:t>
      </w:r>
      <w:r w:rsidR="009A1AE4" w:rsidRPr="00F24AA0">
        <w:rPr>
          <w:rFonts w:eastAsia="Calibri"/>
          <w:color w:val="auto"/>
          <w:sz w:val="22"/>
          <w:szCs w:val="22"/>
          <w:lang w:val="el-GR" w:eastAsia="en-US"/>
        </w:rPr>
        <w:t>τ</w:t>
      </w:r>
      <w:r w:rsidRPr="00F24AA0">
        <w:rPr>
          <w:rFonts w:eastAsia="Calibri"/>
          <w:color w:val="auto"/>
          <w:sz w:val="22"/>
          <w:szCs w:val="22"/>
          <w:lang w:val="el-GR" w:eastAsia="en-US"/>
        </w:rPr>
        <w:t xml:space="preserve">η λειτουργία των υποδομών </w:t>
      </w:r>
      <w:r w:rsidR="00F856D5" w:rsidRPr="00F24AA0">
        <w:rPr>
          <w:rFonts w:eastAsia="Calibri"/>
          <w:color w:val="auto"/>
          <w:sz w:val="22"/>
          <w:szCs w:val="22"/>
          <w:lang w:val="el-GR" w:eastAsia="en-US"/>
        </w:rPr>
        <w:t xml:space="preserve">των </w:t>
      </w:r>
      <w:r w:rsidRPr="00F24AA0">
        <w:rPr>
          <w:rFonts w:eastAsia="Calibri"/>
          <w:color w:val="auto"/>
          <w:sz w:val="22"/>
          <w:szCs w:val="22"/>
          <w:lang w:val="el-GR" w:eastAsia="en-US"/>
        </w:rPr>
        <w:t>χρηματοπιστωτικών αγορών (συστήματα πληρωμών, κεντρικά αποθετήρια τίτλων και κεντρικοί αντισυμβαλλόμενοι).</w:t>
      </w:r>
      <w:r w:rsidR="00B6213D" w:rsidRPr="00F24AA0">
        <w:rPr>
          <w:rFonts w:eastAsia="Calibri"/>
          <w:color w:val="auto"/>
          <w:sz w:val="22"/>
          <w:szCs w:val="22"/>
          <w:lang w:val="el-GR" w:eastAsia="en-US"/>
        </w:rPr>
        <w:t xml:space="preserve"> </w:t>
      </w:r>
    </w:p>
    <w:p w14:paraId="7D97CA18" w14:textId="790AAB77" w:rsidR="00176803" w:rsidRPr="00F24AA0" w:rsidRDefault="00B6213D" w:rsidP="006A118C">
      <w:pPr>
        <w:spacing w:before="240" w:line="360" w:lineRule="auto"/>
        <w:jc w:val="both"/>
        <w:rPr>
          <w:rFonts w:eastAsia="Calibri"/>
          <w:color w:val="auto"/>
          <w:sz w:val="22"/>
          <w:szCs w:val="22"/>
          <w:lang w:val="el-GR" w:eastAsia="en-US"/>
        </w:rPr>
      </w:pPr>
      <w:r w:rsidRPr="00F24AA0">
        <w:rPr>
          <w:rFonts w:eastAsia="Calibri"/>
          <w:color w:val="auto"/>
          <w:sz w:val="22"/>
          <w:szCs w:val="22"/>
          <w:lang w:val="el-GR" w:eastAsia="en-US"/>
        </w:rPr>
        <w:t xml:space="preserve">Η παρούσα Έκθεση επικεντρώνεται στις εξελίξεις που έλαβαν </w:t>
      </w:r>
      <w:r w:rsidR="002824EA" w:rsidRPr="00F24AA0">
        <w:rPr>
          <w:rFonts w:eastAsia="Calibri"/>
          <w:color w:val="auto"/>
          <w:sz w:val="22"/>
          <w:szCs w:val="22"/>
          <w:lang w:val="el-GR" w:eastAsia="en-US"/>
        </w:rPr>
        <w:t xml:space="preserve">χώρα στον τραπεζικό τομέα </w:t>
      </w:r>
      <w:r w:rsidR="001C2240" w:rsidRPr="00F24AA0">
        <w:rPr>
          <w:rFonts w:eastAsia="Calibri"/>
          <w:color w:val="auto"/>
          <w:sz w:val="22"/>
          <w:szCs w:val="22"/>
          <w:lang w:val="el-GR" w:eastAsia="en-US"/>
        </w:rPr>
        <w:t>το</w:t>
      </w:r>
      <w:r w:rsidR="00B6006A" w:rsidRPr="00F24AA0">
        <w:rPr>
          <w:rFonts w:eastAsia="Calibri"/>
          <w:color w:val="auto"/>
          <w:sz w:val="22"/>
          <w:szCs w:val="22"/>
          <w:lang w:val="el-GR" w:eastAsia="en-US"/>
        </w:rPr>
        <w:t xml:space="preserve"> </w:t>
      </w:r>
      <w:r w:rsidR="002824EA" w:rsidRPr="00F24AA0">
        <w:rPr>
          <w:rFonts w:eastAsia="Calibri"/>
          <w:color w:val="auto"/>
          <w:sz w:val="22"/>
          <w:szCs w:val="22"/>
          <w:lang w:val="el-GR" w:eastAsia="en-US"/>
        </w:rPr>
        <w:t>202</w:t>
      </w:r>
      <w:r w:rsidR="00DF47F2" w:rsidRPr="00F24AA0">
        <w:rPr>
          <w:rFonts w:eastAsia="Calibri"/>
          <w:color w:val="auto"/>
          <w:sz w:val="22"/>
          <w:szCs w:val="22"/>
          <w:lang w:val="el-GR" w:eastAsia="en-US"/>
        </w:rPr>
        <w:t>4</w:t>
      </w:r>
      <w:r w:rsidR="006A118C" w:rsidRPr="00F24AA0">
        <w:rPr>
          <w:rFonts w:eastAsia="Calibri"/>
          <w:color w:val="auto"/>
          <w:sz w:val="22"/>
          <w:szCs w:val="22"/>
          <w:lang w:val="el-GR" w:eastAsia="en-US"/>
        </w:rPr>
        <w:t>, ενώ π</w:t>
      </w:r>
      <w:r w:rsidR="003E67BF" w:rsidRPr="00F24AA0">
        <w:rPr>
          <w:rFonts w:eastAsia="Calibri"/>
          <w:color w:val="auto"/>
          <w:sz w:val="22"/>
          <w:szCs w:val="22"/>
          <w:lang w:val="el-GR" w:eastAsia="en-US"/>
        </w:rPr>
        <w:t xml:space="preserve">αρουσιάζονται επίσης </w:t>
      </w:r>
      <w:r w:rsidR="00E8273B" w:rsidRPr="00F24AA0">
        <w:rPr>
          <w:rFonts w:eastAsia="Calibri"/>
          <w:color w:val="auto"/>
          <w:sz w:val="22"/>
          <w:szCs w:val="22"/>
          <w:lang w:val="el-GR" w:eastAsia="en-US"/>
        </w:rPr>
        <w:t xml:space="preserve">δύο </w:t>
      </w:r>
      <w:r w:rsidR="0034618A" w:rsidRPr="00F24AA0">
        <w:rPr>
          <w:rFonts w:eastAsia="Calibri"/>
          <w:color w:val="auto"/>
          <w:sz w:val="22"/>
          <w:szCs w:val="22"/>
          <w:lang w:val="el-GR" w:eastAsia="en-US"/>
        </w:rPr>
        <w:t>Ε</w:t>
      </w:r>
      <w:r w:rsidR="003A7FD3" w:rsidRPr="00F24AA0">
        <w:rPr>
          <w:rFonts w:eastAsia="Calibri"/>
          <w:color w:val="auto"/>
          <w:sz w:val="22"/>
          <w:szCs w:val="22"/>
          <w:lang w:val="el-GR" w:eastAsia="en-US"/>
        </w:rPr>
        <w:t xml:space="preserve">ιδικά </w:t>
      </w:r>
      <w:r w:rsidR="00333C38" w:rsidRPr="00F24AA0">
        <w:rPr>
          <w:rFonts w:eastAsia="Calibri"/>
          <w:color w:val="auto"/>
          <w:sz w:val="22"/>
          <w:szCs w:val="22"/>
          <w:lang w:val="el-GR" w:eastAsia="en-US"/>
        </w:rPr>
        <w:t>Θ</w:t>
      </w:r>
      <w:r w:rsidR="003E67BF" w:rsidRPr="00F24AA0">
        <w:rPr>
          <w:rFonts w:eastAsia="Calibri"/>
          <w:color w:val="auto"/>
          <w:sz w:val="22"/>
          <w:szCs w:val="22"/>
          <w:lang w:val="el-GR" w:eastAsia="en-US"/>
        </w:rPr>
        <w:t>έματα</w:t>
      </w:r>
      <w:r w:rsidR="00176803" w:rsidRPr="00F24AA0">
        <w:rPr>
          <w:rFonts w:eastAsia="Calibri"/>
          <w:color w:val="auto"/>
          <w:sz w:val="22"/>
          <w:szCs w:val="22"/>
          <w:lang w:val="el-GR" w:eastAsia="en-US"/>
        </w:rPr>
        <w:t>:</w:t>
      </w:r>
      <w:r w:rsidR="006A118C" w:rsidRPr="00F24AA0">
        <w:rPr>
          <w:rFonts w:eastAsia="Calibri"/>
          <w:color w:val="auto"/>
          <w:sz w:val="22"/>
          <w:szCs w:val="22"/>
          <w:lang w:val="el-GR" w:eastAsia="en-US"/>
        </w:rPr>
        <w:t xml:space="preserve"> </w:t>
      </w:r>
    </w:p>
    <w:p w14:paraId="63C33FF9" w14:textId="70528864" w:rsidR="00AF16B1" w:rsidRPr="008563FE" w:rsidRDefault="00176803" w:rsidP="008563FE">
      <w:pPr>
        <w:spacing w:before="240" w:line="360" w:lineRule="auto"/>
        <w:ind w:left="720"/>
        <w:jc w:val="both"/>
        <w:rPr>
          <w:rFonts w:eastAsia="Calibri"/>
          <w:color w:val="auto"/>
          <w:sz w:val="22"/>
          <w:szCs w:val="22"/>
          <w:lang w:val="el-GR" w:eastAsia="en-US"/>
        </w:rPr>
      </w:pPr>
      <w:r w:rsidRPr="00AF16B1">
        <w:rPr>
          <w:rFonts w:eastAsia="Calibri"/>
          <w:color w:val="auto"/>
          <w:sz w:val="22"/>
          <w:szCs w:val="22"/>
          <w:lang w:val="el-GR" w:eastAsia="en-US"/>
        </w:rPr>
        <w:t xml:space="preserve">α) </w:t>
      </w:r>
      <w:bookmarkStart w:id="0" w:name="_Hlk197260905"/>
      <w:r w:rsidR="006A118C" w:rsidRPr="00AF16B1">
        <w:rPr>
          <w:rFonts w:eastAsia="Calibri"/>
          <w:color w:val="auto"/>
          <w:sz w:val="22"/>
          <w:szCs w:val="22"/>
          <w:lang w:val="el-GR" w:eastAsia="en-US"/>
        </w:rPr>
        <w:t xml:space="preserve">Το Ειδικό Θέμα Ι </w:t>
      </w:r>
      <w:r w:rsidR="00AF16B1" w:rsidRPr="00AF16B1">
        <w:rPr>
          <w:rFonts w:eastAsia="Calibri"/>
          <w:color w:val="auto"/>
          <w:sz w:val="22"/>
          <w:szCs w:val="22"/>
          <w:lang w:val="el-GR" w:eastAsia="en-US"/>
        </w:rPr>
        <w:t xml:space="preserve">εξετάζει την προσαρμογή της δέσμης εργαλείων </w:t>
      </w:r>
      <w:proofErr w:type="spellStart"/>
      <w:r w:rsidR="00AF16B1" w:rsidRPr="00AF16B1">
        <w:rPr>
          <w:rFonts w:eastAsia="Calibri"/>
          <w:color w:val="auto"/>
          <w:sz w:val="22"/>
          <w:szCs w:val="22"/>
          <w:lang w:val="el-GR" w:eastAsia="en-US"/>
        </w:rPr>
        <w:t>μακροπροληπτικής</w:t>
      </w:r>
      <w:proofErr w:type="spellEnd"/>
      <w:r w:rsidR="00AF16B1" w:rsidRPr="00AF16B1">
        <w:rPr>
          <w:rFonts w:eastAsia="Calibri"/>
          <w:color w:val="auto"/>
          <w:sz w:val="22"/>
          <w:szCs w:val="22"/>
          <w:lang w:val="el-GR" w:eastAsia="en-US"/>
        </w:rPr>
        <w:t xml:space="preserve"> πολιτικής της Ευρωπαϊκής Ένωσης (ΕΕ) μέσω των διατάξεων της Οδηγίας (ΕΕ) 2024/1619 (Capital </w:t>
      </w:r>
      <w:proofErr w:type="spellStart"/>
      <w:r w:rsidR="00AF16B1" w:rsidRPr="00AF16B1">
        <w:rPr>
          <w:rFonts w:eastAsia="Calibri"/>
          <w:color w:val="auto"/>
          <w:sz w:val="22"/>
          <w:szCs w:val="22"/>
          <w:lang w:val="el-GR" w:eastAsia="en-US"/>
        </w:rPr>
        <w:t>Requirements</w:t>
      </w:r>
      <w:proofErr w:type="spellEnd"/>
      <w:r w:rsidR="00AF16B1" w:rsidRPr="00AF16B1">
        <w:rPr>
          <w:rFonts w:eastAsia="Calibri"/>
          <w:color w:val="auto"/>
          <w:sz w:val="22"/>
          <w:szCs w:val="22"/>
          <w:lang w:val="el-GR" w:eastAsia="en-US"/>
        </w:rPr>
        <w:t xml:space="preserve"> </w:t>
      </w:r>
      <w:proofErr w:type="spellStart"/>
      <w:r w:rsidR="00AF16B1" w:rsidRPr="00AF16B1">
        <w:rPr>
          <w:rFonts w:eastAsia="Calibri"/>
          <w:color w:val="auto"/>
          <w:sz w:val="22"/>
          <w:szCs w:val="22"/>
          <w:lang w:val="el-GR" w:eastAsia="en-US"/>
        </w:rPr>
        <w:t>Directive</w:t>
      </w:r>
      <w:proofErr w:type="spellEnd"/>
      <w:r w:rsidR="00AF16B1" w:rsidRPr="00AF16B1">
        <w:rPr>
          <w:rFonts w:eastAsia="Calibri"/>
          <w:color w:val="auto"/>
          <w:sz w:val="22"/>
          <w:szCs w:val="22"/>
          <w:lang w:val="el-GR" w:eastAsia="en-US"/>
        </w:rPr>
        <w:t xml:space="preserve"> VI</w:t>
      </w:r>
      <w:r w:rsidR="00ED73EB">
        <w:rPr>
          <w:rFonts w:eastAsia="Calibri"/>
          <w:color w:val="auto"/>
          <w:sz w:val="22"/>
          <w:szCs w:val="22"/>
          <w:lang w:val="el-GR" w:eastAsia="en-US"/>
        </w:rPr>
        <w:t xml:space="preserve"> ή </w:t>
      </w:r>
      <w:r w:rsidR="00AF16B1" w:rsidRPr="00AF16B1">
        <w:rPr>
          <w:rFonts w:eastAsia="Calibri"/>
          <w:color w:val="auto"/>
          <w:sz w:val="22"/>
          <w:szCs w:val="22"/>
          <w:lang w:val="el-GR" w:eastAsia="en-US"/>
        </w:rPr>
        <w:t xml:space="preserve">“Οδηγία CRD VΙ”) και του Κανονισμού (EE) 2024/1623 (Capital </w:t>
      </w:r>
      <w:proofErr w:type="spellStart"/>
      <w:r w:rsidR="00AF16B1" w:rsidRPr="00AF16B1">
        <w:rPr>
          <w:rFonts w:eastAsia="Calibri"/>
          <w:color w:val="auto"/>
          <w:sz w:val="22"/>
          <w:szCs w:val="22"/>
          <w:lang w:val="el-GR" w:eastAsia="en-US"/>
        </w:rPr>
        <w:t>Requirements</w:t>
      </w:r>
      <w:proofErr w:type="spellEnd"/>
      <w:r w:rsidR="00AF16B1" w:rsidRPr="00AF16B1">
        <w:rPr>
          <w:rFonts w:eastAsia="Calibri"/>
          <w:color w:val="auto"/>
          <w:sz w:val="22"/>
          <w:szCs w:val="22"/>
          <w:lang w:val="el-GR" w:eastAsia="en-US"/>
        </w:rPr>
        <w:t xml:space="preserve"> </w:t>
      </w:r>
      <w:proofErr w:type="spellStart"/>
      <w:r w:rsidR="00AF16B1" w:rsidRPr="00AF16B1">
        <w:rPr>
          <w:rFonts w:eastAsia="Calibri"/>
          <w:color w:val="auto"/>
          <w:sz w:val="22"/>
          <w:szCs w:val="22"/>
          <w:lang w:val="el-GR" w:eastAsia="en-US"/>
        </w:rPr>
        <w:t>Regulation</w:t>
      </w:r>
      <w:proofErr w:type="spellEnd"/>
      <w:r w:rsidR="00AF16B1" w:rsidRPr="00AF16B1">
        <w:rPr>
          <w:rFonts w:eastAsia="Calibri"/>
          <w:color w:val="auto"/>
          <w:sz w:val="22"/>
          <w:szCs w:val="22"/>
          <w:lang w:val="el-GR" w:eastAsia="en-US"/>
        </w:rPr>
        <w:t xml:space="preserve"> III </w:t>
      </w:r>
      <w:r w:rsidR="00ED73EB">
        <w:rPr>
          <w:rFonts w:eastAsia="Calibri"/>
          <w:color w:val="auto"/>
          <w:sz w:val="22"/>
          <w:szCs w:val="22"/>
          <w:lang w:val="el-GR" w:eastAsia="en-US"/>
        </w:rPr>
        <w:t xml:space="preserve">ή </w:t>
      </w:r>
      <w:r w:rsidR="00AF16B1" w:rsidRPr="00AF16B1">
        <w:rPr>
          <w:rFonts w:eastAsia="Calibri"/>
          <w:color w:val="auto"/>
          <w:sz w:val="22"/>
          <w:szCs w:val="22"/>
          <w:lang w:val="el-GR" w:eastAsia="en-US"/>
        </w:rPr>
        <w:t xml:space="preserve">“Κανονισμός CRR ΙΙI”). </w:t>
      </w:r>
    </w:p>
    <w:bookmarkEnd w:id="0"/>
    <w:p w14:paraId="08EB812C" w14:textId="3251E7F9" w:rsidR="00AF16B1" w:rsidRPr="00AF16B1" w:rsidRDefault="0095627E" w:rsidP="005C122D">
      <w:pPr>
        <w:spacing w:before="140" w:line="360" w:lineRule="auto"/>
        <w:ind w:left="720"/>
        <w:jc w:val="both"/>
        <w:rPr>
          <w:rFonts w:eastAsia="Calibri"/>
          <w:color w:val="auto"/>
          <w:sz w:val="22"/>
          <w:szCs w:val="22"/>
          <w:highlight w:val="yellow"/>
          <w:lang w:val="el-GR" w:eastAsia="en-US"/>
        </w:rPr>
      </w:pPr>
      <w:r w:rsidRPr="00AF16B1">
        <w:rPr>
          <w:rFonts w:eastAsia="Calibri"/>
          <w:color w:val="auto"/>
          <w:sz w:val="22"/>
          <w:szCs w:val="22"/>
          <w:lang w:val="el-GR" w:eastAsia="en-US"/>
        </w:rPr>
        <w:lastRenderedPageBreak/>
        <w:t xml:space="preserve">β) </w:t>
      </w:r>
      <w:r w:rsidR="00A03073" w:rsidRPr="00A03073">
        <w:rPr>
          <w:rFonts w:eastAsia="Calibri"/>
          <w:color w:val="auto"/>
          <w:sz w:val="22"/>
          <w:szCs w:val="22"/>
          <w:lang w:val="el-GR" w:eastAsia="en-US"/>
        </w:rPr>
        <w:t>Το Ειδικό Θέμα ΙΙ εξετάζει τις εκταμιεύσεις δανείων προς φυσικά πρόσωπα που εξασφαλίζονται με οικιστικ</w:t>
      </w:r>
      <w:r w:rsidR="002B5168">
        <w:rPr>
          <w:rFonts w:eastAsia="Calibri"/>
          <w:color w:val="auto"/>
          <w:sz w:val="22"/>
          <w:szCs w:val="22"/>
          <w:lang w:val="el-GR" w:eastAsia="en-US"/>
        </w:rPr>
        <w:t>ό</w:t>
      </w:r>
      <w:r w:rsidR="00A03073" w:rsidRPr="00A03073">
        <w:rPr>
          <w:rFonts w:eastAsia="Calibri"/>
          <w:color w:val="auto"/>
          <w:sz w:val="22"/>
          <w:szCs w:val="22"/>
          <w:lang w:val="el-GR" w:eastAsia="en-US"/>
        </w:rPr>
        <w:t xml:space="preserve"> ακίνητ</w:t>
      </w:r>
      <w:r w:rsidR="002B5168">
        <w:rPr>
          <w:rFonts w:eastAsia="Calibri"/>
          <w:color w:val="auto"/>
          <w:sz w:val="22"/>
          <w:szCs w:val="22"/>
          <w:lang w:val="el-GR" w:eastAsia="en-US"/>
        </w:rPr>
        <w:t>ο</w:t>
      </w:r>
      <w:r w:rsidR="00A03073" w:rsidRPr="00A03073">
        <w:rPr>
          <w:rFonts w:eastAsia="Calibri"/>
          <w:color w:val="auto"/>
          <w:sz w:val="22"/>
          <w:szCs w:val="22"/>
          <w:lang w:val="el-GR" w:eastAsia="en-US"/>
        </w:rPr>
        <w:t xml:space="preserve"> για την περίοδο 2021-2024 και αναλύει τα βασικά χαρακτηριστικά τους. </w:t>
      </w:r>
      <w:r w:rsidR="004926F4">
        <w:rPr>
          <w:rFonts w:eastAsia="Calibri"/>
          <w:color w:val="auto"/>
          <w:sz w:val="22"/>
          <w:szCs w:val="22"/>
          <w:lang w:val="en-US" w:eastAsia="en-US"/>
        </w:rPr>
        <w:t>T</w:t>
      </w:r>
      <w:r w:rsidR="00A03073" w:rsidRPr="00A03073">
        <w:rPr>
          <w:rFonts w:eastAsia="Calibri"/>
          <w:color w:val="auto"/>
          <w:sz w:val="22"/>
          <w:szCs w:val="22"/>
          <w:lang w:val="el-GR" w:eastAsia="en-US"/>
        </w:rPr>
        <w:t xml:space="preserve">α πιστοδοτικά κριτήρια παρέμειναν συνετά σε όλη την </w:t>
      </w:r>
      <w:r w:rsidR="000D72AF">
        <w:rPr>
          <w:rFonts w:eastAsia="Calibri"/>
          <w:color w:val="auto"/>
          <w:sz w:val="22"/>
          <w:szCs w:val="22"/>
          <w:lang w:val="el-GR" w:eastAsia="en-US"/>
        </w:rPr>
        <w:t xml:space="preserve">υπό εξέταση </w:t>
      </w:r>
      <w:r w:rsidR="00A03073" w:rsidRPr="00A03073">
        <w:rPr>
          <w:rFonts w:eastAsia="Calibri"/>
          <w:color w:val="auto"/>
          <w:sz w:val="22"/>
          <w:szCs w:val="22"/>
          <w:lang w:val="el-GR" w:eastAsia="en-US"/>
        </w:rPr>
        <w:t>περίοδο</w:t>
      </w:r>
      <w:r w:rsidR="004926F4" w:rsidRPr="00FB1972">
        <w:rPr>
          <w:rFonts w:eastAsia="Calibri"/>
          <w:color w:val="auto"/>
          <w:sz w:val="22"/>
          <w:szCs w:val="22"/>
          <w:lang w:val="el-GR" w:eastAsia="en-US"/>
        </w:rPr>
        <w:t xml:space="preserve"> </w:t>
      </w:r>
      <w:r w:rsidR="004926F4">
        <w:rPr>
          <w:rFonts w:eastAsia="Calibri"/>
          <w:color w:val="auto"/>
          <w:sz w:val="22"/>
          <w:szCs w:val="22"/>
          <w:lang w:val="el-GR" w:eastAsia="en-US"/>
        </w:rPr>
        <w:t xml:space="preserve">και </w:t>
      </w:r>
      <w:r w:rsidR="00A03073" w:rsidRPr="00A03073">
        <w:rPr>
          <w:rFonts w:eastAsia="Calibri"/>
          <w:color w:val="auto"/>
          <w:sz w:val="22"/>
          <w:szCs w:val="22"/>
          <w:lang w:val="el-GR" w:eastAsia="en-US"/>
        </w:rPr>
        <w:t xml:space="preserve">τα πιστωτικά ιδρύματα συμμορφώνονται </w:t>
      </w:r>
      <w:r w:rsidR="000D72AF" w:rsidRPr="00A03073">
        <w:rPr>
          <w:rFonts w:eastAsia="Calibri"/>
          <w:color w:val="auto"/>
          <w:sz w:val="22"/>
          <w:szCs w:val="22"/>
          <w:lang w:val="el-GR" w:eastAsia="en-US"/>
        </w:rPr>
        <w:t xml:space="preserve">σε μεγάλο βαθμό </w:t>
      </w:r>
      <w:r w:rsidR="00A03073" w:rsidRPr="00A03073">
        <w:rPr>
          <w:rFonts w:eastAsia="Calibri"/>
          <w:color w:val="auto"/>
          <w:sz w:val="22"/>
          <w:szCs w:val="22"/>
          <w:lang w:val="el-GR" w:eastAsia="en-US"/>
        </w:rPr>
        <w:t xml:space="preserve">με τα </w:t>
      </w:r>
      <w:proofErr w:type="spellStart"/>
      <w:r w:rsidR="00A03073" w:rsidRPr="00A03073">
        <w:rPr>
          <w:rFonts w:eastAsia="Calibri"/>
          <w:color w:val="auto"/>
          <w:sz w:val="22"/>
          <w:szCs w:val="22"/>
          <w:lang w:val="el-GR" w:eastAsia="en-US"/>
        </w:rPr>
        <w:t>μακροπροληπτικά</w:t>
      </w:r>
      <w:proofErr w:type="spellEnd"/>
      <w:r w:rsidR="00A03073" w:rsidRPr="00A03073">
        <w:rPr>
          <w:rFonts w:eastAsia="Calibri"/>
          <w:color w:val="auto"/>
          <w:sz w:val="22"/>
          <w:szCs w:val="22"/>
          <w:lang w:val="el-GR" w:eastAsia="en-US"/>
        </w:rPr>
        <w:t xml:space="preserve"> μέτρα σε επίπεδο δανειολήπτη, ήδη πριν </w:t>
      </w:r>
      <w:r w:rsidR="00432DF1">
        <w:rPr>
          <w:rFonts w:eastAsia="Calibri"/>
          <w:color w:val="auto"/>
          <w:sz w:val="22"/>
          <w:szCs w:val="22"/>
          <w:lang w:val="el-GR" w:eastAsia="en-US"/>
        </w:rPr>
        <w:t xml:space="preserve">από </w:t>
      </w:r>
      <w:r w:rsidR="00A03073" w:rsidRPr="00A03073">
        <w:rPr>
          <w:rFonts w:eastAsia="Calibri"/>
          <w:color w:val="auto"/>
          <w:sz w:val="22"/>
          <w:szCs w:val="22"/>
          <w:lang w:val="el-GR" w:eastAsia="en-US"/>
        </w:rPr>
        <w:t>την έναρξη εφαρμογής τους τον Ιανουάριο του 2025.</w:t>
      </w:r>
    </w:p>
    <w:p w14:paraId="0074F676" w14:textId="62EEAA5D" w:rsidR="00F20545" w:rsidRPr="00F20545" w:rsidRDefault="003F7DE9" w:rsidP="005C122D">
      <w:pPr>
        <w:spacing w:before="140" w:line="360" w:lineRule="auto"/>
        <w:jc w:val="both"/>
        <w:rPr>
          <w:sz w:val="22"/>
          <w:szCs w:val="22"/>
          <w:highlight w:val="yellow"/>
          <w:lang w:val="el-GR"/>
        </w:rPr>
      </w:pPr>
      <w:r>
        <w:rPr>
          <w:sz w:val="22"/>
          <w:szCs w:val="22"/>
          <w:lang w:val="el-GR"/>
        </w:rPr>
        <w:t xml:space="preserve">Η ενίσχυση της </w:t>
      </w:r>
      <w:r w:rsidR="00514C53" w:rsidRPr="009F0EFA">
        <w:rPr>
          <w:sz w:val="22"/>
          <w:szCs w:val="22"/>
          <w:lang w:val="el-GR"/>
        </w:rPr>
        <w:t>ανθεκτικότητα</w:t>
      </w:r>
      <w:r>
        <w:rPr>
          <w:sz w:val="22"/>
          <w:szCs w:val="22"/>
          <w:lang w:val="el-GR"/>
        </w:rPr>
        <w:t>ς</w:t>
      </w:r>
      <w:r w:rsidR="00514C53" w:rsidRPr="009F0EFA">
        <w:rPr>
          <w:sz w:val="22"/>
          <w:szCs w:val="22"/>
          <w:lang w:val="el-GR"/>
        </w:rPr>
        <w:t xml:space="preserve"> του ελληνικού τραπεζικού τομέα </w:t>
      </w:r>
      <w:r>
        <w:rPr>
          <w:sz w:val="22"/>
          <w:szCs w:val="22"/>
          <w:lang w:val="el-GR"/>
        </w:rPr>
        <w:t>είναι αδιαμφισβήτητη.</w:t>
      </w:r>
      <w:r w:rsidR="004510E0">
        <w:rPr>
          <w:sz w:val="22"/>
          <w:szCs w:val="22"/>
          <w:lang w:val="el-GR"/>
        </w:rPr>
        <w:t xml:space="preserve"> </w:t>
      </w:r>
      <w:r w:rsidR="00F20545" w:rsidRPr="00F20545">
        <w:rPr>
          <w:sz w:val="22"/>
          <w:szCs w:val="22"/>
          <w:lang w:val="el-GR"/>
        </w:rPr>
        <w:t xml:space="preserve">Το 2024 οι ελληνικές τράπεζες κατέγραψαν κέρδη μετά από φόρους και διακοπτόμενες δραστηριότητες ύψους 4,4 </w:t>
      </w:r>
      <w:proofErr w:type="spellStart"/>
      <w:r w:rsidR="00F20545" w:rsidRPr="00F20545">
        <w:rPr>
          <w:sz w:val="22"/>
          <w:szCs w:val="22"/>
          <w:lang w:val="el-GR"/>
        </w:rPr>
        <w:t>δισεκ</w:t>
      </w:r>
      <w:proofErr w:type="spellEnd"/>
      <w:r w:rsidR="00F20545" w:rsidRPr="00F20545">
        <w:rPr>
          <w:sz w:val="22"/>
          <w:szCs w:val="22"/>
          <w:lang w:val="el-GR"/>
        </w:rPr>
        <w:t xml:space="preserve">. ευρώ, έναντι κερδών 3,8 </w:t>
      </w:r>
      <w:proofErr w:type="spellStart"/>
      <w:r w:rsidR="00F20545" w:rsidRPr="00F20545">
        <w:rPr>
          <w:sz w:val="22"/>
          <w:szCs w:val="22"/>
          <w:lang w:val="el-GR"/>
        </w:rPr>
        <w:t>δισεκ</w:t>
      </w:r>
      <w:proofErr w:type="spellEnd"/>
      <w:r w:rsidR="00F20545" w:rsidRPr="00F20545">
        <w:rPr>
          <w:sz w:val="22"/>
          <w:szCs w:val="22"/>
          <w:lang w:val="el-GR"/>
        </w:rPr>
        <w:t xml:space="preserve">. ευρώ το 2023. Στην εξέλιξη αυτή συνέβαλαν θετικά η αύξηση των καθαρών εσόδων από τόκους και προμήθειες, καθώς και η μείωση των προβλέψεων για τον πιστωτικό κίνδυνο, ενώ αρνητικά </w:t>
      </w:r>
      <w:proofErr w:type="spellStart"/>
      <w:r w:rsidR="00F20545" w:rsidRPr="00F20545">
        <w:rPr>
          <w:sz w:val="22"/>
          <w:szCs w:val="22"/>
          <w:lang w:val="el-GR"/>
        </w:rPr>
        <w:t>επέδρασε</w:t>
      </w:r>
      <w:proofErr w:type="spellEnd"/>
      <w:r w:rsidR="00F20545" w:rsidRPr="00F20545">
        <w:rPr>
          <w:sz w:val="22"/>
          <w:szCs w:val="22"/>
          <w:lang w:val="el-GR"/>
        </w:rPr>
        <w:t xml:space="preserve"> η αύξηση των λειτουργικών εξόδων.</w:t>
      </w:r>
    </w:p>
    <w:p w14:paraId="449C0E15" w14:textId="3CD9035C" w:rsidR="002D2E94" w:rsidRDefault="00F20545" w:rsidP="005C122D">
      <w:pPr>
        <w:spacing w:before="140" w:line="360" w:lineRule="auto"/>
        <w:jc w:val="both"/>
        <w:rPr>
          <w:sz w:val="22"/>
          <w:szCs w:val="22"/>
          <w:lang w:val="el-GR"/>
        </w:rPr>
      </w:pPr>
      <w:r>
        <w:rPr>
          <w:sz w:val="22"/>
          <w:szCs w:val="22"/>
          <w:lang w:val="en-US"/>
        </w:rPr>
        <w:t>O</w:t>
      </w:r>
      <w:r w:rsidRPr="00F20545">
        <w:rPr>
          <w:sz w:val="22"/>
          <w:szCs w:val="22"/>
          <w:lang w:val="el-GR"/>
        </w:rPr>
        <w:t xml:space="preserve">ι δείκτες κεφαλαιακής επάρκειας των ελληνικών τραπεζικών ομίλων ενισχύθηκαν </w:t>
      </w:r>
      <w:r>
        <w:rPr>
          <w:sz w:val="22"/>
          <w:szCs w:val="22"/>
          <w:lang w:val="el-GR"/>
        </w:rPr>
        <w:t>περαιτέρω,</w:t>
      </w:r>
      <w:r w:rsidRPr="00F20545">
        <w:rPr>
          <w:sz w:val="22"/>
          <w:szCs w:val="22"/>
          <w:lang w:val="el-GR"/>
        </w:rPr>
        <w:t xml:space="preserve"> κυρίως μέσω της εσωτερικής δημιουργίας κεφαλαίου και της έκδοσης κεφαλαιακών μέσων. Συγκεκριμένα, ο Δείκτης Κεφαλαίου Κοινών Μετοχών της Κατηγορίας 1 (</w:t>
      </w:r>
      <w:r w:rsidRPr="00F20545">
        <w:rPr>
          <w:sz w:val="22"/>
          <w:szCs w:val="22"/>
          <w:lang w:val="en-US"/>
        </w:rPr>
        <w:t>Common</w:t>
      </w:r>
      <w:r w:rsidRPr="00F20545">
        <w:rPr>
          <w:sz w:val="22"/>
          <w:szCs w:val="22"/>
          <w:lang w:val="el-GR"/>
        </w:rPr>
        <w:t xml:space="preserve"> </w:t>
      </w:r>
      <w:r w:rsidRPr="00F20545">
        <w:rPr>
          <w:sz w:val="22"/>
          <w:szCs w:val="22"/>
          <w:lang w:val="en-US"/>
        </w:rPr>
        <w:t>Equity</w:t>
      </w:r>
      <w:r w:rsidRPr="00F20545">
        <w:rPr>
          <w:sz w:val="22"/>
          <w:szCs w:val="22"/>
          <w:lang w:val="el-GR"/>
        </w:rPr>
        <w:t xml:space="preserve"> </w:t>
      </w:r>
      <w:r w:rsidRPr="00F20545">
        <w:rPr>
          <w:sz w:val="22"/>
          <w:szCs w:val="22"/>
          <w:lang w:val="en-US"/>
        </w:rPr>
        <w:t>Tier</w:t>
      </w:r>
      <w:r w:rsidRPr="00F20545">
        <w:rPr>
          <w:sz w:val="22"/>
          <w:szCs w:val="22"/>
          <w:lang w:val="el-GR"/>
        </w:rPr>
        <w:t xml:space="preserve"> 1 </w:t>
      </w:r>
      <w:r w:rsidRPr="00F20545">
        <w:rPr>
          <w:sz w:val="22"/>
          <w:szCs w:val="22"/>
          <w:lang w:val="en-US"/>
        </w:rPr>
        <w:t>ratio</w:t>
      </w:r>
      <w:r w:rsidRPr="00F20545">
        <w:rPr>
          <w:sz w:val="22"/>
          <w:szCs w:val="22"/>
          <w:lang w:val="el-GR"/>
        </w:rPr>
        <w:t xml:space="preserve"> – </w:t>
      </w:r>
      <w:r w:rsidRPr="00F20545">
        <w:rPr>
          <w:sz w:val="22"/>
          <w:szCs w:val="22"/>
          <w:lang w:val="en-US"/>
        </w:rPr>
        <w:t>CET</w:t>
      </w:r>
      <w:r w:rsidRPr="00F20545">
        <w:rPr>
          <w:sz w:val="22"/>
          <w:szCs w:val="22"/>
          <w:lang w:val="el-GR"/>
        </w:rPr>
        <w:t xml:space="preserve">1 </w:t>
      </w:r>
      <w:r w:rsidRPr="00F20545">
        <w:rPr>
          <w:sz w:val="22"/>
          <w:szCs w:val="22"/>
          <w:lang w:val="en-US"/>
        </w:rPr>
        <w:t>ratio</w:t>
      </w:r>
      <w:r w:rsidRPr="00F20545">
        <w:rPr>
          <w:sz w:val="22"/>
          <w:szCs w:val="22"/>
          <w:lang w:val="el-GR"/>
        </w:rPr>
        <w:t>) σε ενοποιημένη βάση αυξήθηκε σε 15,9% το Δεκέμβριο του 2024 και ο Συνολικός Δείκτης Κεφαλαίου (</w:t>
      </w:r>
      <w:r w:rsidRPr="00F20545">
        <w:rPr>
          <w:sz w:val="22"/>
          <w:szCs w:val="22"/>
          <w:lang w:val="en-US"/>
        </w:rPr>
        <w:t>Total</w:t>
      </w:r>
      <w:r w:rsidRPr="00F20545">
        <w:rPr>
          <w:sz w:val="22"/>
          <w:szCs w:val="22"/>
          <w:lang w:val="el-GR"/>
        </w:rPr>
        <w:t xml:space="preserve"> </w:t>
      </w:r>
      <w:r w:rsidRPr="00F20545">
        <w:rPr>
          <w:sz w:val="22"/>
          <w:szCs w:val="22"/>
          <w:lang w:val="en-US"/>
        </w:rPr>
        <w:t>Capital</w:t>
      </w:r>
      <w:r w:rsidRPr="00F20545">
        <w:rPr>
          <w:sz w:val="22"/>
          <w:szCs w:val="22"/>
          <w:lang w:val="el-GR"/>
        </w:rPr>
        <w:t xml:space="preserve"> </w:t>
      </w:r>
      <w:r w:rsidRPr="00F20545">
        <w:rPr>
          <w:sz w:val="22"/>
          <w:szCs w:val="22"/>
          <w:lang w:val="en-US"/>
        </w:rPr>
        <w:t>Ratio</w:t>
      </w:r>
      <w:r w:rsidRPr="00F20545">
        <w:rPr>
          <w:sz w:val="22"/>
          <w:szCs w:val="22"/>
          <w:lang w:val="el-GR"/>
        </w:rPr>
        <w:t xml:space="preserve"> – </w:t>
      </w:r>
      <w:r w:rsidRPr="00F20545">
        <w:rPr>
          <w:sz w:val="22"/>
          <w:szCs w:val="22"/>
          <w:lang w:val="en-US"/>
        </w:rPr>
        <w:t>TCR</w:t>
      </w:r>
      <w:r w:rsidRPr="00F20545">
        <w:rPr>
          <w:sz w:val="22"/>
          <w:szCs w:val="22"/>
          <w:lang w:val="el-GR"/>
        </w:rPr>
        <w:t xml:space="preserve">) σε 19,7% </w:t>
      </w:r>
      <w:r w:rsidR="00551166" w:rsidRPr="00351108">
        <w:rPr>
          <w:lang w:val="el-GR"/>
        </w:rPr>
        <w:t>και πλέον ανέρχ</w:t>
      </w:r>
      <w:r w:rsidR="00DC3C4E">
        <w:rPr>
          <w:lang w:val="el-GR"/>
        </w:rPr>
        <w:t>ον</w:t>
      </w:r>
      <w:r w:rsidR="00551166" w:rsidRPr="00351108">
        <w:rPr>
          <w:lang w:val="el-GR"/>
        </w:rPr>
        <w:t xml:space="preserve">ται στο ίδιο επίπεδο </w:t>
      </w:r>
      <w:r w:rsidRPr="00F20545">
        <w:rPr>
          <w:sz w:val="22"/>
          <w:szCs w:val="22"/>
          <w:lang w:val="el-GR"/>
        </w:rPr>
        <w:t xml:space="preserve">με το μέσο όρο στην Τραπεζική Ένωση (δείκτες </w:t>
      </w:r>
      <w:r w:rsidRPr="00F20545">
        <w:rPr>
          <w:sz w:val="22"/>
          <w:szCs w:val="22"/>
          <w:lang w:val="en-US"/>
        </w:rPr>
        <w:t>CET</w:t>
      </w:r>
      <w:r w:rsidRPr="00F20545">
        <w:rPr>
          <w:sz w:val="22"/>
          <w:szCs w:val="22"/>
          <w:lang w:val="el-GR"/>
        </w:rPr>
        <w:t xml:space="preserve">1: 15,9% και </w:t>
      </w:r>
      <w:r w:rsidRPr="00F20545">
        <w:rPr>
          <w:sz w:val="22"/>
          <w:szCs w:val="22"/>
          <w:lang w:val="en-US"/>
        </w:rPr>
        <w:t>TCR</w:t>
      </w:r>
      <w:r w:rsidRPr="00F20545">
        <w:rPr>
          <w:sz w:val="22"/>
          <w:szCs w:val="22"/>
          <w:lang w:val="el-GR"/>
        </w:rPr>
        <w:t>: 20,0% το Δεκέμβριο του 2024).</w:t>
      </w:r>
    </w:p>
    <w:p w14:paraId="5D59E9E8" w14:textId="3B8A16F4" w:rsidR="00F20545" w:rsidRPr="00F24AA0" w:rsidRDefault="00F20545" w:rsidP="005C122D">
      <w:pPr>
        <w:spacing w:before="140" w:line="360" w:lineRule="auto"/>
        <w:jc w:val="both"/>
        <w:rPr>
          <w:sz w:val="22"/>
          <w:szCs w:val="22"/>
          <w:highlight w:val="yellow"/>
          <w:lang w:val="el-GR"/>
        </w:rPr>
      </w:pPr>
      <w:r w:rsidRPr="00F20545">
        <w:rPr>
          <w:sz w:val="22"/>
          <w:szCs w:val="22"/>
          <w:lang w:val="el-GR"/>
        </w:rPr>
        <w:t xml:space="preserve">Η ποιότητα του δανειακού χαρτοφυλακίου των πιστωτικών ιδρυμάτων </w:t>
      </w:r>
      <w:r>
        <w:rPr>
          <w:sz w:val="22"/>
          <w:szCs w:val="22"/>
          <w:lang w:val="el-GR"/>
        </w:rPr>
        <w:t xml:space="preserve">το </w:t>
      </w:r>
      <w:r w:rsidR="001B03B7">
        <w:rPr>
          <w:sz w:val="22"/>
          <w:szCs w:val="22"/>
          <w:lang w:val="el-GR"/>
        </w:rPr>
        <w:t>2024</w:t>
      </w:r>
      <w:r>
        <w:rPr>
          <w:sz w:val="22"/>
          <w:szCs w:val="22"/>
          <w:lang w:val="el-GR"/>
        </w:rPr>
        <w:t xml:space="preserve"> </w:t>
      </w:r>
      <w:r w:rsidRPr="00F20545">
        <w:rPr>
          <w:sz w:val="22"/>
          <w:szCs w:val="22"/>
          <w:lang w:val="el-GR"/>
        </w:rPr>
        <w:t>βελτιώθηκε αισθητά</w:t>
      </w:r>
      <w:r w:rsidR="00820B46">
        <w:rPr>
          <w:sz w:val="22"/>
          <w:szCs w:val="22"/>
          <w:lang w:val="el-GR"/>
        </w:rPr>
        <w:t>,</w:t>
      </w:r>
      <w:r w:rsidRPr="00F20545">
        <w:rPr>
          <w:sz w:val="22"/>
          <w:szCs w:val="22"/>
          <w:lang w:val="el-GR"/>
        </w:rPr>
        <w:t xml:space="preserve"> κυρίως λόγω μη οργανικών ενεργειών. Ειδικότερα, </w:t>
      </w:r>
      <w:r>
        <w:rPr>
          <w:sz w:val="22"/>
          <w:szCs w:val="22"/>
          <w:lang w:val="el-GR"/>
        </w:rPr>
        <w:t>ο</w:t>
      </w:r>
      <w:r w:rsidRPr="00F20545">
        <w:rPr>
          <w:sz w:val="22"/>
          <w:szCs w:val="22"/>
          <w:lang w:val="el-GR"/>
        </w:rPr>
        <w:t xml:space="preserve"> λόγος των </w:t>
      </w:r>
      <w:r w:rsidR="001B03B7">
        <w:rPr>
          <w:sz w:val="22"/>
          <w:szCs w:val="22"/>
          <w:lang w:val="el-GR"/>
        </w:rPr>
        <w:t xml:space="preserve">μη εξυπηρετούμενων δανείων </w:t>
      </w:r>
      <w:r w:rsidRPr="00F20545">
        <w:rPr>
          <w:sz w:val="22"/>
          <w:szCs w:val="22"/>
          <w:lang w:val="el-GR"/>
        </w:rPr>
        <w:t>προς το σύνολο των δανείων μειώθηκε σημαντικά σε 3,8% το Δεκέμβριο του 2024 (από 6,7% το Δεκέμβριο του 2023</w:t>
      </w:r>
      <w:r w:rsidR="00A67BB0">
        <w:rPr>
          <w:sz w:val="22"/>
          <w:szCs w:val="22"/>
          <w:lang w:val="el-GR"/>
        </w:rPr>
        <w:t>). Πρόκειται για</w:t>
      </w:r>
      <w:r w:rsidRPr="00F20545">
        <w:rPr>
          <w:sz w:val="22"/>
          <w:szCs w:val="22"/>
          <w:lang w:val="el-GR"/>
        </w:rPr>
        <w:t xml:space="preserve"> το χαμηλότερο επίπεδο από την ένταξη της Ελλάδ</w:t>
      </w:r>
      <w:r w:rsidR="00CE0B2A">
        <w:rPr>
          <w:sz w:val="22"/>
          <w:szCs w:val="22"/>
          <w:lang w:val="el-GR"/>
        </w:rPr>
        <w:t>ο</w:t>
      </w:r>
      <w:r w:rsidRPr="00F20545">
        <w:rPr>
          <w:sz w:val="22"/>
          <w:szCs w:val="22"/>
          <w:lang w:val="el-GR"/>
        </w:rPr>
        <w:t>ς στη ζώνη του ευρώ</w:t>
      </w:r>
      <w:r w:rsidR="00A67BB0">
        <w:rPr>
          <w:sz w:val="22"/>
          <w:szCs w:val="22"/>
          <w:lang w:val="el-GR"/>
        </w:rPr>
        <w:t xml:space="preserve">, το οποίο έχει συγκλίνει σε μεγάλο βαθμό </w:t>
      </w:r>
      <w:r w:rsidRPr="00F20545">
        <w:rPr>
          <w:sz w:val="22"/>
          <w:szCs w:val="22"/>
          <w:lang w:val="el-GR"/>
        </w:rPr>
        <w:t>με το μέσο όρο στην Τραπεζική Ένωση (Δεκέμβριος 2024: 2,3%).</w:t>
      </w:r>
    </w:p>
    <w:p w14:paraId="707C95A9" w14:textId="6A5C6354" w:rsidR="00513B9C" w:rsidRDefault="005F228F" w:rsidP="005C122D">
      <w:pPr>
        <w:spacing w:before="140" w:line="360" w:lineRule="auto"/>
        <w:jc w:val="both"/>
        <w:rPr>
          <w:sz w:val="22"/>
          <w:szCs w:val="22"/>
          <w:lang w:val="el-GR"/>
        </w:rPr>
      </w:pPr>
      <w:r w:rsidRPr="005F228F">
        <w:rPr>
          <w:sz w:val="22"/>
          <w:szCs w:val="22"/>
          <w:lang w:val="el-GR"/>
        </w:rPr>
        <w:t>Οι προοπτικές για τον ελληνικό τραπεζικό τομέα παραμένουν ευνοϊκές</w:t>
      </w:r>
      <w:r w:rsidR="00513B9C">
        <w:rPr>
          <w:sz w:val="22"/>
          <w:szCs w:val="22"/>
          <w:lang w:val="el-GR"/>
        </w:rPr>
        <w:t>,</w:t>
      </w:r>
      <w:r>
        <w:rPr>
          <w:sz w:val="22"/>
          <w:szCs w:val="22"/>
          <w:lang w:val="el-GR"/>
        </w:rPr>
        <w:t xml:space="preserve"> </w:t>
      </w:r>
      <w:r w:rsidR="00513B9C">
        <w:rPr>
          <w:sz w:val="22"/>
          <w:szCs w:val="22"/>
          <w:lang w:val="el-GR"/>
        </w:rPr>
        <w:t xml:space="preserve">καθώς </w:t>
      </w:r>
      <w:r w:rsidRPr="005F228F">
        <w:rPr>
          <w:sz w:val="22"/>
          <w:szCs w:val="22"/>
          <w:lang w:val="el-GR"/>
        </w:rPr>
        <w:t xml:space="preserve">είναι άρρηκτα συνδεδεμένες με </w:t>
      </w:r>
      <w:r w:rsidR="00B27428">
        <w:rPr>
          <w:sz w:val="22"/>
          <w:szCs w:val="22"/>
          <w:lang w:val="el-GR"/>
        </w:rPr>
        <w:t>τις θετικές επιδόσεις της ελληνικής οικονομίας</w:t>
      </w:r>
      <w:r>
        <w:rPr>
          <w:sz w:val="22"/>
          <w:szCs w:val="22"/>
          <w:lang w:val="el-GR"/>
        </w:rPr>
        <w:t xml:space="preserve">. </w:t>
      </w:r>
      <w:r w:rsidRPr="00514C53">
        <w:rPr>
          <w:sz w:val="22"/>
          <w:szCs w:val="22"/>
          <w:lang w:val="el-GR"/>
        </w:rPr>
        <w:t xml:space="preserve">Ωστόσο, </w:t>
      </w:r>
      <w:r w:rsidR="00BD1DBD">
        <w:rPr>
          <w:sz w:val="22"/>
          <w:szCs w:val="22"/>
          <w:lang w:val="el-GR"/>
        </w:rPr>
        <w:t>η διαφαινόμενη επιβράδυνση της οικονομικής δραστηριότητας</w:t>
      </w:r>
      <w:r w:rsidR="00CE0B2A">
        <w:rPr>
          <w:sz w:val="22"/>
          <w:szCs w:val="22"/>
          <w:lang w:val="el-GR"/>
        </w:rPr>
        <w:t xml:space="preserve"> στη ζώνη του ευρώ</w:t>
      </w:r>
      <w:r w:rsidR="00BD1DBD">
        <w:rPr>
          <w:sz w:val="22"/>
          <w:szCs w:val="22"/>
          <w:lang w:val="el-GR"/>
        </w:rPr>
        <w:t xml:space="preserve">, καθώς </w:t>
      </w:r>
      <w:r w:rsidR="006055C8">
        <w:rPr>
          <w:sz w:val="22"/>
          <w:szCs w:val="22"/>
          <w:lang w:val="el-GR"/>
        </w:rPr>
        <w:t xml:space="preserve">και ενδεχόμενη </w:t>
      </w:r>
      <w:r w:rsidRPr="00514C53">
        <w:rPr>
          <w:sz w:val="22"/>
          <w:szCs w:val="22"/>
          <w:lang w:val="el-GR"/>
        </w:rPr>
        <w:t xml:space="preserve">απότομη </w:t>
      </w:r>
      <w:proofErr w:type="spellStart"/>
      <w:r w:rsidRPr="00514C53">
        <w:rPr>
          <w:sz w:val="22"/>
          <w:szCs w:val="22"/>
          <w:lang w:val="el-GR"/>
        </w:rPr>
        <w:t>ανατιμολόγηση</w:t>
      </w:r>
      <w:proofErr w:type="spellEnd"/>
      <w:r w:rsidRPr="00514C53">
        <w:rPr>
          <w:sz w:val="22"/>
          <w:szCs w:val="22"/>
          <w:lang w:val="el-GR"/>
        </w:rPr>
        <w:t xml:space="preserve"> των περιουσιακών στοιχείων στις διεθνείς αγορές χρήματος και κεφαλαίων</w:t>
      </w:r>
      <w:r w:rsidR="00820B46">
        <w:rPr>
          <w:sz w:val="22"/>
          <w:szCs w:val="22"/>
          <w:lang w:val="el-GR"/>
        </w:rPr>
        <w:t>,</w:t>
      </w:r>
      <w:r w:rsidRPr="00514C53">
        <w:rPr>
          <w:sz w:val="22"/>
          <w:szCs w:val="22"/>
          <w:lang w:val="el-GR"/>
        </w:rPr>
        <w:t xml:space="preserve"> </w:t>
      </w:r>
      <w:r w:rsidR="00CE0B2A">
        <w:rPr>
          <w:sz w:val="22"/>
          <w:szCs w:val="22"/>
          <w:lang w:val="el-GR"/>
        </w:rPr>
        <w:t xml:space="preserve">θα </w:t>
      </w:r>
      <w:r w:rsidRPr="00514C53">
        <w:rPr>
          <w:sz w:val="22"/>
          <w:szCs w:val="22"/>
          <w:lang w:val="el-GR"/>
        </w:rPr>
        <w:t>μπορ</w:t>
      </w:r>
      <w:r w:rsidR="007A2DCA">
        <w:rPr>
          <w:sz w:val="22"/>
          <w:szCs w:val="22"/>
          <w:lang w:val="el-GR"/>
        </w:rPr>
        <w:t>ού</w:t>
      </w:r>
      <w:r w:rsidR="00CE0B2A">
        <w:rPr>
          <w:sz w:val="22"/>
          <w:szCs w:val="22"/>
          <w:lang w:val="el-GR"/>
        </w:rPr>
        <w:t>σαν</w:t>
      </w:r>
      <w:r w:rsidR="007A2DCA">
        <w:rPr>
          <w:sz w:val="22"/>
          <w:szCs w:val="22"/>
          <w:lang w:val="el-GR"/>
        </w:rPr>
        <w:t xml:space="preserve"> </w:t>
      </w:r>
      <w:r w:rsidRPr="00514C53">
        <w:rPr>
          <w:sz w:val="22"/>
          <w:szCs w:val="22"/>
          <w:lang w:val="el-GR"/>
        </w:rPr>
        <w:t>να επιφέρ</w:t>
      </w:r>
      <w:r w:rsidR="007A2DCA">
        <w:rPr>
          <w:sz w:val="22"/>
          <w:szCs w:val="22"/>
          <w:lang w:val="el-GR"/>
        </w:rPr>
        <w:t xml:space="preserve">ουν </w:t>
      </w:r>
      <w:r w:rsidR="00513B9C">
        <w:rPr>
          <w:sz w:val="22"/>
          <w:szCs w:val="22"/>
          <w:lang w:val="el-GR"/>
        </w:rPr>
        <w:t xml:space="preserve">αρνητικές </w:t>
      </w:r>
      <w:r w:rsidR="00CE0B2A">
        <w:rPr>
          <w:sz w:val="22"/>
          <w:szCs w:val="22"/>
          <w:lang w:val="el-GR"/>
        </w:rPr>
        <w:t>συνέπειες</w:t>
      </w:r>
      <w:r w:rsidR="00BD1DBD">
        <w:rPr>
          <w:sz w:val="22"/>
          <w:szCs w:val="22"/>
          <w:lang w:val="el-GR"/>
        </w:rPr>
        <w:t xml:space="preserve">. </w:t>
      </w:r>
      <w:r w:rsidR="00CE0B2A">
        <w:rPr>
          <w:sz w:val="22"/>
          <w:szCs w:val="22"/>
          <w:lang w:val="el-GR"/>
        </w:rPr>
        <w:t>Επομένως</w:t>
      </w:r>
      <w:r w:rsidR="004510E0">
        <w:rPr>
          <w:sz w:val="22"/>
          <w:szCs w:val="22"/>
          <w:lang w:val="el-GR"/>
        </w:rPr>
        <w:t xml:space="preserve">, </w:t>
      </w:r>
      <w:r w:rsidR="00513B9C">
        <w:rPr>
          <w:sz w:val="22"/>
          <w:szCs w:val="22"/>
          <w:lang w:val="el-GR"/>
        </w:rPr>
        <w:t xml:space="preserve">δεν υπάρχουν περιθώρια εφησυχασμού </w:t>
      </w:r>
      <w:r w:rsidR="004510E0">
        <w:rPr>
          <w:sz w:val="22"/>
          <w:szCs w:val="22"/>
          <w:lang w:val="el-GR"/>
        </w:rPr>
        <w:t xml:space="preserve">και </w:t>
      </w:r>
      <w:r w:rsidR="00513B9C">
        <w:rPr>
          <w:sz w:val="22"/>
          <w:szCs w:val="22"/>
          <w:lang w:val="el-GR"/>
        </w:rPr>
        <w:t xml:space="preserve">η </w:t>
      </w:r>
      <w:r w:rsidR="00513B9C" w:rsidRPr="00513B9C">
        <w:rPr>
          <w:sz w:val="22"/>
          <w:szCs w:val="22"/>
          <w:lang w:val="el-GR"/>
        </w:rPr>
        <w:t xml:space="preserve">συνδυαστική εφαρμογή </w:t>
      </w:r>
      <w:r w:rsidR="00B32EFF">
        <w:rPr>
          <w:sz w:val="22"/>
          <w:szCs w:val="22"/>
          <w:lang w:val="el-GR"/>
        </w:rPr>
        <w:t>της</w:t>
      </w:r>
      <w:r w:rsidR="00513B9C" w:rsidRPr="00513B9C">
        <w:rPr>
          <w:sz w:val="22"/>
          <w:szCs w:val="22"/>
          <w:lang w:val="el-GR"/>
        </w:rPr>
        <w:t xml:space="preserve"> </w:t>
      </w:r>
      <w:proofErr w:type="spellStart"/>
      <w:r w:rsidR="00513B9C" w:rsidRPr="00513B9C">
        <w:rPr>
          <w:sz w:val="22"/>
          <w:szCs w:val="22"/>
          <w:lang w:val="el-GR"/>
        </w:rPr>
        <w:t>μικροπροληπτικ</w:t>
      </w:r>
      <w:r w:rsidR="00B32EFF">
        <w:rPr>
          <w:sz w:val="22"/>
          <w:szCs w:val="22"/>
          <w:lang w:val="el-GR"/>
        </w:rPr>
        <w:t>ής</w:t>
      </w:r>
      <w:proofErr w:type="spellEnd"/>
      <w:r w:rsidR="00B32EFF">
        <w:rPr>
          <w:sz w:val="22"/>
          <w:szCs w:val="22"/>
          <w:lang w:val="el-GR"/>
        </w:rPr>
        <w:t xml:space="preserve"> εποπτείας </w:t>
      </w:r>
      <w:r w:rsidR="00513B9C" w:rsidRPr="00513B9C">
        <w:rPr>
          <w:sz w:val="22"/>
          <w:szCs w:val="22"/>
          <w:lang w:val="el-GR"/>
        </w:rPr>
        <w:t xml:space="preserve">και </w:t>
      </w:r>
      <w:r w:rsidR="00B32EFF">
        <w:rPr>
          <w:sz w:val="22"/>
          <w:szCs w:val="22"/>
          <w:lang w:val="el-GR"/>
        </w:rPr>
        <w:t xml:space="preserve">της </w:t>
      </w:r>
      <w:proofErr w:type="spellStart"/>
      <w:r w:rsidR="00513B9C" w:rsidRPr="00513B9C">
        <w:rPr>
          <w:sz w:val="22"/>
          <w:szCs w:val="22"/>
          <w:lang w:val="el-GR"/>
        </w:rPr>
        <w:t>μακροπροληπτικ</w:t>
      </w:r>
      <w:r w:rsidR="00B32EFF">
        <w:rPr>
          <w:sz w:val="22"/>
          <w:szCs w:val="22"/>
          <w:lang w:val="el-GR"/>
        </w:rPr>
        <w:t>ής</w:t>
      </w:r>
      <w:proofErr w:type="spellEnd"/>
      <w:r w:rsidR="00513B9C" w:rsidRPr="00513B9C">
        <w:rPr>
          <w:sz w:val="22"/>
          <w:szCs w:val="22"/>
          <w:lang w:val="el-GR"/>
        </w:rPr>
        <w:t xml:space="preserve"> πολιτικής </w:t>
      </w:r>
      <w:r w:rsidR="002F5342">
        <w:rPr>
          <w:sz w:val="22"/>
          <w:szCs w:val="22"/>
          <w:lang w:val="el-GR"/>
        </w:rPr>
        <w:t xml:space="preserve">καθίσταται </w:t>
      </w:r>
      <w:r w:rsidR="00B32EFF">
        <w:rPr>
          <w:sz w:val="22"/>
          <w:szCs w:val="22"/>
          <w:lang w:val="el-GR"/>
        </w:rPr>
        <w:t>αναγκαία</w:t>
      </w:r>
      <w:r w:rsidR="002F5342">
        <w:rPr>
          <w:sz w:val="22"/>
          <w:szCs w:val="22"/>
          <w:lang w:val="el-GR"/>
        </w:rPr>
        <w:t xml:space="preserve"> </w:t>
      </w:r>
      <w:r w:rsidR="00513B9C">
        <w:rPr>
          <w:sz w:val="22"/>
          <w:szCs w:val="22"/>
          <w:lang w:val="el-GR"/>
        </w:rPr>
        <w:t>για τη διασφάλιση της χρηματοπιστωτικής σταθερότητας.</w:t>
      </w:r>
    </w:p>
    <w:p w14:paraId="4C5BF97A" w14:textId="76865C3E" w:rsidR="00F5007A" w:rsidRPr="00F24AA0" w:rsidRDefault="000D5526" w:rsidP="005C122D">
      <w:pPr>
        <w:spacing w:before="140" w:line="276" w:lineRule="auto"/>
        <w:jc w:val="both"/>
        <w:rPr>
          <w:b/>
          <w:sz w:val="22"/>
          <w:szCs w:val="22"/>
          <w:u w:val="single"/>
          <w:lang w:val="el-GR"/>
        </w:rPr>
      </w:pPr>
      <w:r w:rsidRPr="00F24AA0">
        <w:rPr>
          <w:b/>
          <w:sz w:val="22"/>
          <w:szCs w:val="22"/>
          <w:u w:val="single"/>
          <w:lang w:val="el-GR"/>
        </w:rPr>
        <w:t>Σχετικ</w:t>
      </w:r>
      <w:r w:rsidR="00276886" w:rsidRPr="00F24AA0">
        <w:rPr>
          <w:b/>
          <w:sz w:val="22"/>
          <w:szCs w:val="22"/>
          <w:u w:val="single"/>
          <w:lang w:val="el-GR"/>
        </w:rPr>
        <w:t>ός</w:t>
      </w:r>
      <w:r w:rsidRPr="00F24AA0">
        <w:rPr>
          <w:b/>
          <w:sz w:val="22"/>
          <w:szCs w:val="22"/>
          <w:u w:val="single"/>
          <w:lang w:val="el-GR"/>
        </w:rPr>
        <w:t xml:space="preserve"> σύνδεσμο</w:t>
      </w:r>
      <w:r w:rsidR="00276886" w:rsidRPr="00F24AA0">
        <w:rPr>
          <w:b/>
          <w:sz w:val="22"/>
          <w:szCs w:val="22"/>
          <w:u w:val="single"/>
          <w:lang w:val="el-GR"/>
        </w:rPr>
        <w:t>ς</w:t>
      </w:r>
      <w:r w:rsidRPr="00F24AA0">
        <w:rPr>
          <w:bCs/>
          <w:sz w:val="22"/>
          <w:szCs w:val="22"/>
          <w:lang w:val="el-GR"/>
        </w:rPr>
        <w:t>:</w:t>
      </w:r>
    </w:p>
    <w:p w14:paraId="7F7E8865" w14:textId="55ECBD88" w:rsidR="007D58E3" w:rsidRPr="00A97263" w:rsidRDefault="00743C1C" w:rsidP="005C122D">
      <w:pPr>
        <w:spacing w:before="140" w:line="276" w:lineRule="auto"/>
        <w:jc w:val="both"/>
        <w:rPr>
          <w:sz w:val="22"/>
          <w:szCs w:val="22"/>
          <w:lang w:val="el-GR"/>
        </w:rPr>
      </w:pPr>
      <w:hyperlink r:id="rId12" w:history="1">
        <w:r w:rsidR="00293D3D" w:rsidRPr="00743C1C">
          <w:rPr>
            <w:rStyle w:val="Hyperlink"/>
            <w:sz w:val="22"/>
            <w:szCs w:val="22"/>
            <w:lang w:val="el-GR"/>
          </w:rPr>
          <w:t>Έκθεση Χρηματοπιστωτικής Σταθερότητας</w:t>
        </w:r>
        <w:r w:rsidR="007408E6" w:rsidRPr="00743C1C">
          <w:rPr>
            <w:rStyle w:val="Hyperlink"/>
            <w:sz w:val="22"/>
            <w:szCs w:val="22"/>
            <w:lang w:val="el-GR"/>
          </w:rPr>
          <w:t>,</w:t>
        </w:r>
        <w:r w:rsidR="00293D3D" w:rsidRPr="00743C1C">
          <w:rPr>
            <w:rStyle w:val="Hyperlink"/>
            <w:sz w:val="22"/>
            <w:szCs w:val="22"/>
            <w:lang w:val="el-GR"/>
          </w:rPr>
          <w:t xml:space="preserve"> </w:t>
        </w:r>
        <w:r w:rsidR="00F24AA0" w:rsidRPr="00743C1C">
          <w:rPr>
            <w:rStyle w:val="Hyperlink"/>
            <w:sz w:val="22"/>
            <w:szCs w:val="22"/>
            <w:lang w:val="el-GR"/>
          </w:rPr>
          <w:t xml:space="preserve">Μάιος </w:t>
        </w:r>
        <w:r w:rsidR="00293D3D" w:rsidRPr="00743C1C">
          <w:rPr>
            <w:rStyle w:val="Hyperlink"/>
            <w:sz w:val="22"/>
            <w:szCs w:val="22"/>
            <w:lang w:val="el-GR"/>
          </w:rPr>
          <w:t>202</w:t>
        </w:r>
        <w:r w:rsidR="00F24AA0" w:rsidRPr="00743C1C">
          <w:rPr>
            <w:rStyle w:val="Hyperlink"/>
            <w:sz w:val="22"/>
            <w:szCs w:val="22"/>
            <w:lang w:val="el-GR"/>
          </w:rPr>
          <w:t>5</w:t>
        </w:r>
      </w:hyperlink>
    </w:p>
    <w:sectPr w:rsidR="007D58E3" w:rsidRPr="00A97263" w:rsidSect="00FA1739">
      <w:footerReference w:type="default" r:id="rId13"/>
      <w:footerReference w:type="first" r:id="rId14"/>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B455" w14:textId="77777777" w:rsidR="00FB1ADF" w:rsidRDefault="00FB1ADF">
      <w:r>
        <w:separator/>
      </w:r>
    </w:p>
  </w:endnote>
  <w:endnote w:type="continuationSeparator" w:id="0">
    <w:p w14:paraId="5CE0B5E2" w14:textId="77777777" w:rsidR="00FB1ADF" w:rsidRDefault="00FB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7107" w14:textId="77777777" w:rsidR="00906441" w:rsidRDefault="00614A99" w:rsidP="006F37D0">
    <w:pPr>
      <w:tabs>
        <w:tab w:val="left" w:pos="2288"/>
      </w:tabs>
      <w:spacing w:line="360" w:lineRule="auto"/>
      <w:ind w:right="360"/>
      <w:rPr>
        <w:sz w:val="14"/>
        <w:lang w:val="el-GR"/>
      </w:rPr>
    </w:pPr>
    <w:r>
      <w:rPr>
        <w:sz w:val="20"/>
      </w:rPr>
      <w:tab/>
    </w:r>
  </w:p>
  <w:p w14:paraId="2027F2EF"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15506D09" w14:textId="77777777" w:rsidTr="00F26854">
      <w:tc>
        <w:tcPr>
          <w:tcW w:w="4917" w:type="dxa"/>
          <w:tcBorders>
            <w:left w:val="single" w:sz="48" w:space="0" w:color="BC9E6E"/>
          </w:tcBorders>
          <w:shd w:val="clear" w:color="auto" w:fill="auto"/>
        </w:tcPr>
        <w:p w14:paraId="379F890D"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7E598379" w14:textId="77777777" w:rsidR="006B5E1E" w:rsidRDefault="006B5E1E" w:rsidP="001E695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00C25ACA" w:rsidRPr="005C2B0D">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4B15AB4C" w14:textId="3C53CDA2" w:rsidR="00766A4F" w:rsidRDefault="00184CB0" w:rsidP="006B5E1E">
          <w:pPr>
            <w:pStyle w:val="Footer"/>
            <w:tabs>
              <w:tab w:val="left" w:pos="5220"/>
            </w:tabs>
            <w:spacing w:before="60" w:after="60"/>
            <w:ind w:firstLine="176"/>
            <w:rPr>
              <w:rFonts w:ascii="Arial" w:hAnsi="Arial" w:cs="Arial"/>
              <w:sz w:val="14"/>
              <w:lang w:val="el-GR"/>
            </w:rPr>
          </w:pPr>
          <w:hyperlink r:id="rId1" w:history="1">
            <w:r w:rsidRPr="00E06524">
              <w:rPr>
                <w:rStyle w:val="Hyperlink"/>
                <w:rFonts w:ascii="Arial" w:hAnsi="Arial" w:cs="Arial"/>
                <w:sz w:val="14"/>
                <w:lang w:val="en-US"/>
              </w:rPr>
              <w:t>press</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sidR="006B5E1E">
            <w:rPr>
              <w:rFonts w:ascii="Arial" w:hAnsi="Arial" w:cs="Arial"/>
              <w:sz w:val="14"/>
              <w:lang w:val="el-GR"/>
            </w:rPr>
            <w:t xml:space="preserve"> |</w:t>
          </w:r>
          <w:r w:rsidR="00083E45">
            <w:rPr>
              <w:rFonts w:ascii="Arial" w:hAnsi="Arial" w:cs="Arial"/>
              <w:sz w:val="14"/>
              <w:lang w:val="el-GR"/>
            </w:rPr>
            <w:t xml:space="preserve"> </w:t>
          </w:r>
          <w:hyperlink r:id="rId2" w:history="1">
            <w:r w:rsidRPr="00E06524">
              <w:rPr>
                <w:rStyle w:val="Hyperlink"/>
                <w:rFonts w:ascii="Arial" w:hAnsi="Arial" w:cs="Arial"/>
                <w:sz w:val="14"/>
                <w:lang w:val="en-US"/>
              </w:rPr>
              <w:t>www</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sidRPr="006B5E1E">
            <w:rPr>
              <w:rFonts w:ascii="Arial" w:hAnsi="Arial" w:cs="Arial"/>
              <w:sz w:val="14"/>
              <w:lang w:val="el-GR"/>
            </w:rPr>
            <w:t xml:space="preserve"> </w:t>
          </w:r>
        </w:p>
      </w:tc>
      <w:tc>
        <w:tcPr>
          <w:tcW w:w="4581" w:type="dxa"/>
          <w:shd w:val="clear" w:color="auto" w:fill="auto"/>
        </w:tcPr>
        <w:p w14:paraId="195963A5" w14:textId="5B675DC0"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820B46">
            <w:rPr>
              <w:rFonts w:ascii="Arial" w:hAnsi="Arial" w:cs="Arial"/>
              <w:noProof/>
              <w:color w:val="auto"/>
              <w:sz w:val="18"/>
              <w:lang w:val="en-US"/>
            </w:rPr>
            <w:t>2</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4973BFAC"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D102" w14:textId="77777777" w:rsidR="00906441" w:rsidRDefault="00906441">
    <w:pPr>
      <w:pStyle w:val="Footer"/>
      <w:rPr>
        <w:sz w:val="20"/>
        <w:lang w:val="de-DE"/>
      </w:rPr>
    </w:pPr>
  </w:p>
  <w:p w14:paraId="247E1691"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BA7C" w14:textId="77777777" w:rsidR="00FB1ADF" w:rsidRDefault="00FB1ADF">
      <w:r>
        <w:separator/>
      </w:r>
    </w:p>
  </w:footnote>
  <w:footnote w:type="continuationSeparator" w:id="0">
    <w:p w14:paraId="592ED71D" w14:textId="77777777" w:rsidR="00FB1ADF" w:rsidRDefault="00FB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3EB0"/>
    <w:multiLevelType w:val="hybridMultilevel"/>
    <w:tmpl w:val="4900F37A"/>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35349652">
    <w:abstractNumId w:val="2"/>
  </w:num>
  <w:num w:numId="2" w16cid:durableId="2051152465">
    <w:abstractNumId w:val="4"/>
  </w:num>
  <w:num w:numId="3" w16cid:durableId="1249075130">
    <w:abstractNumId w:val="3"/>
  </w:num>
  <w:num w:numId="4" w16cid:durableId="9064557">
    <w:abstractNumId w:val="1"/>
  </w:num>
  <w:num w:numId="5" w16cid:durableId="99348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00C12"/>
    <w:rsid w:val="0000127C"/>
    <w:rsid w:val="000031EC"/>
    <w:rsid w:val="00004174"/>
    <w:rsid w:val="0001579E"/>
    <w:rsid w:val="000160E2"/>
    <w:rsid w:val="0001682C"/>
    <w:rsid w:val="0002101A"/>
    <w:rsid w:val="00022F02"/>
    <w:rsid w:val="00023F99"/>
    <w:rsid w:val="000243A3"/>
    <w:rsid w:val="000272CF"/>
    <w:rsid w:val="00030F67"/>
    <w:rsid w:val="00032171"/>
    <w:rsid w:val="00034558"/>
    <w:rsid w:val="00034EB3"/>
    <w:rsid w:val="00037147"/>
    <w:rsid w:val="0004038F"/>
    <w:rsid w:val="0004275F"/>
    <w:rsid w:val="00044C8F"/>
    <w:rsid w:val="00045338"/>
    <w:rsid w:val="0005740C"/>
    <w:rsid w:val="00071EEE"/>
    <w:rsid w:val="00071F87"/>
    <w:rsid w:val="00072144"/>
    <w:rsid w:val="00073219"/>
    <w:rsid w:val="00082A28"/>
    <w:rsid w:val="00083E45"/>
    <w:rsid w:val="0008513E"/>
    <w:rsid w:val="00085595"/>
    <w:rsid w:val="00092115"/>
    <w:rsid w:val="00093431"/>
    <w:rsid w:val="00096247"/>
    <w:rsid w:val="000A01CF"/>
    <w:rsid w:val="000A19EB"/>
    <w:rsid w:val="000A288F"/>
    <w:rsid w:val="000A304A"/>
    <w:rsid w:val="000A3C72"/>
    <w:rsid w:val="000A4140"/>
    <w:rsid w:val="000A5141"/>
    <w:rsid w:val="000A6028"/>
    <w:rsid w:val="000A678C"/>
    <w:rsid w:val="000B07AB"/>
    <w:rsid w:val="000B1407"/>
    <w:rsid w:val="000B1A83"/>
    <w:rsid w:val="000C0FE4"/>
    <w:rsid w:val="000C127A"/>
    <w:rsid w:val="000C32E3"/>
    <w:rsid w:val="000C4516"/>
    <w:rsid w:val="000C46DD"/>
    <w:rsid w:val="000C5182"/>
    <w:rsid w:val="000C68D8"/>
    <w:rsid w:val="000C6FF9"/>
    <w:rsid w:val="000D0221"/>
    <w:rsid w:val="000D140F"/>
    <w:rsid w:val="000D1A19"/>
    <w:rsid w:val="000D3402"/>
    <w:rsid w:val="000D36F5"/>
    <w:rsid w:val="000D5526"/>
    <w:rsid w:val="000D72AF"/>
    <w:rsid w:val="000E092F"/>
    <w:rsid w:val="000E22AA"/>
    <w:rsid w:val="000E2F15"/>
    <w:rsid w:val="000E3D01"/>
    <w:rsid w:val="000E4148"/>
    <w:rsid w:val="000E72C0"/>
    <w:rsid w:val="000F2B32"/>
    <w:rsid w:val="000F558A"/>
    <w:rsid w:val="000F7419"/>
    <w:rsid w:val="0010083B"/>
    <w:rsid w:val="00100DD9"/>
    <w:rsid w:val="00103802"/>
    <w:rsid w:val="001049A0"/>
    <w:rsid w:val="00104C54"/>
    <w:rsid w:val="00104CA2"/>
    <w:rsid w:val="001131F0"/>
    <w:rsid w:val="00115499"/>
    <w:rsid w:val="00115C03"/>
    <w:rsid w:val="001229E3"/>
    <w:rsid w:val="0012714C"/>
    <w:rsid w:val="00127D62"/>
    <w:rsid w:val="001311CB"/>
    <w:rsid w:val="00131217"/>
    <w:rsid w:val="00132846"/>
    <w:rsid w:val="001334ED"/>
    <w:rsid w:val="00134FA0"/>
    <w:rsid w:val="001359B6"/>
    <w:rsid w:val="00142BC7"/>
    <w:rsid w:val="00143721"/>
    <w:rsid w:val="00156FCD"/>
    <w:rsid w:val="00157321"/>
    <w:rsid w:val="00157B71"/>
    <w:rsid w:val="00157CDE"/>
    <w:rsid w:val="00157EF6"/>
    <w:rsid w:val="0016082B"/>
    <w:rsid w:val="00160B83"/>
    <w:rsid w:val="00160E36"/>
    <w:rsid w:val="001613EA"/>
    <w:rsid w:val="00162C66"/>
    <w:rsid w:val="001655A2"/>
    <w:rsid w:val="001725EF"/>
    <w:rsid w:val="00175A33"/>
    <w:rsid w:val="00176803"/>
    <w:rsid w:val="00176EF3"/>
    <w:rsid w:val="00177533"/>
    <w:rsid w:val="00180F26"/>
    <w:rsid w:val="00183895"/>
    <w:rsid w:val="001838F2"/>
    <w:rsid w:val="00184CB0"/>
    <w:rsid w:val="001857F9"/>
    <w:rsid w:val="00185971"/>
    <w:rsid w:val="00186350"/>
    <w:rsid w:val="00190BDE"/>
    <w:rsid w:val="0019445C"/>
    <w:rsid w:val="0019674A"/>
    <w:rsid w:val="0019776D"/>
    <w:rsid w:val="001A04FD"/>
    <w:rsid w:val="001A081A"/>
    <w:rsid w:val="001A37A9"/>
    <w:rsid w:val="001A4D11"/>
    <w:rsid w:val="001A759A"/>
    <w:rsid w:val="001A7764"/>
    <w:rsid w:val="001A7DBF"/>
    <w:rsid w:val="001A7F77"/>
    <w:rsid w:val="001B03B7"/>
    <w:rsid w:val="001B14FE"/>
    <w:rsid w:val="001B1E5E"/>
    <w:rsid w:val="001B3C23"/>
    <w:rsid w:val="001B58F6"/>
    <w:rsid w:val="001C0253"/>
    <w:rsid w:val="001C0288"/>
    <w:rsid w:val="001C0625"/>
    <w:rsid w:val="001C1299"/>
    <w:rsid w:val="001C16B2"/>
    <w:rsid w:val="001C1BDE"/>
    <w:rsid w:val="001C2240"/>
    <w:rsid w:val="001C2889"/>
    <w:rsid w:val="001D1117"/>
    <w:rsid w:val="001D3684"/>
    <w:rsid w:val="001D38D8"/>
    <w:rsid w:val="001D39AC"/>
    <w:rsid w:val="001D4FB5"/>
    <w:rsid w:val="001E04EF"/>
    <w:rsid w:val="001E3BEA"/>
    <w:rsid w:val="001E3E00"/>
    <w:rsid w:val="001E6951"/>
    <w:rsid w:val="001F086E"/>
    <w:rsid w:val="001F0CF2"/>
    <w:rsid w:val="001F4883"/>
    <w:rsid w:val="001F78AA"/>
    <w:rsid w:val="00201E7D"/>
    <w:rsid w:val="00202559"/>
    <w:rsid w:val="00202828"/>
    <w:rsid w:val="0020283C"/>
    <w:rsid w:val="00202FDB"/>
    <w:rsid w:val="00203CF9"/>
    <w:rsid w:val="00205A44"/>
    <w:rsid w:val="00207033"/>
    <w:rsid w:val="00207C8D"/>
    <w:rsid w:val="002101EB"/>
    <w:rsid w:val="0021177B"/>
    <w:rsid w:val="00216192"/>
    <w:rsid w:val="00217196"/>
    <w:rsid w:val="00227116"/>
    <w:rsid w:val="00231A07"/>
    <w:rsid w:val="0023318C"/>
    <w:rsid w:val="0023772B"/>
    <w:rsid w:val="002378C3"/>
    <w:rsid w:val="00240210"/>
    <w:rsid w:val="00240481"/>
    <w:rsid w:val="00240CBD"/>
    <w:rsid w:val="002435A1"/>
    <w:rsid w:val="00245180"/>
    <w:rsid w:val="00246066"/>
    <w:rsid w:val="0025131C"/>
    <w:rsid w:val="00254FB6"/>
    <w:rsid w:val="00260190"/>
    <w:rsid w:val="002646B6"/>
    <w:rsid w:val="002648D3"/>
    <w:rsid w:val="00270765"/>
    <w:rsid w:val="00270D07"/>
    <w:rsid w:val="002711E1"/>
    <w:rsid w:val="00272F07"/>
    <w:rsid w:val="00273472"/>
    <w:rsid w:val="0027369C"/>
    <w:rsid w:val="00273928"/>
    <w:rsid w:val="00275FBD"/>
    <w:rsid w:val="00276886"/>
    <w:rsid w:val="00276B1E"/>
    <w:rsid w:val="00277734"/>
    <w:rsid w:val="00281F2E"/>
    <w:rsid w:val="002824EA"/>
    <w:rsid w:val="00283331"/>
    <w:rsid w:val="002843B1"/>
    <w:rsid w:val="002867E9"/>
    <w:rsid w:val="0028693A"/>
    <w:rsid w:val="00293D3D"/>
    <w:rsid w:val="00294951"/>
    <w:rsid w:val="002959AA"/>
    <w:rsid w:val="00296A09"/>
    <w:rsid w:val="002A0290"/>
    <w:rsid w:val="002A153F"/>
    <w:rsid w:val="002A186C"/>
    <w:rsid w:val="002A1AF3"/>
    <w:rsid w:val="002A1C9F"/>
    <w:rsid w:val="002A2D24"/>
    <w:rsid w:val="002A3590"/>
    <w:rsid w:val="002A3DF1"/>
    <w:rsid w:val="002A67DE"/>
    <w:rsid w:val="002B0053"/>
    <w:rsid w:val="002B01B8"/>
    <w:rsid w:val="002B01D2"/>
    <w:rsid w:val="002B30E3"/>
    <w:rsid w:val="002B428D"/>
    <w:rsid w:val="002B4997"/>
    <w:rsid w:val="002B4B67"/>
    <w:rsid w:val="002B5168"/>
    <w:rsid w:val="002B5AE1"/>
    <w:rsid w:val="002B5FB8"/>
    <w:rsid w:val="002C1421"/>
    <w:rsid w:val="002C168A"/>
    <w:rsid w:val="002C50D9"/>
    <w:rsid w:val="002C72A6"/>
    <w:rsid w:val="002C7892"/>
    <w:rsid w:val="002C7905"/>
    <w:rsid w:val="002D2E94"/>
    <w:rsid w:val="002D3F97"/>
    <w:rsid w:val="002D7C8E"/>
    <w:rsid w:val="002E0BBE"/>
    <w:rsid w:val="002E7DB5"/>
    <w:rsid w:val="002F18ED"/>
    <w:rsid w:val="002F5342"/>
    <w:rsid w:val="002F5601"/>
    <w:rsid w:val="002F6F3B"/>
    <w:rsid w:val="0030027A"/>
    <w:rsid w:val="00302264"/>
    <w:rsid w:val="00305178"/>
    <w:rsid w:val="0030584D"/>
    <w:rsid w:val="00305FFC"/>
    <w:rsid w:val="00306003"/>
    <w:rsid w:val="00310BDF"/>
    <w:rsid w:val="00313191"/>
    <w:rsid w:val="003138C9"/>
    <w:rsid w:val="0031518D"/>
    <w:rsid w:val="00320888"/>
    <w:rsid w:val="0032508D"/>
    <w:rsid w:val="00325A6F"/>
    <w:rsid w:val="00327ABF"/>
    <w:rsid w:val="0033210B"/>
    <w:rsid w:val="003332DB"/>
    <w:rsid w:val="00333C38"/>
    <w:rsid w:val="00333E5C"/>
    <w:rsid w:val="0033417E"/>
    <w:rsid w:val="0033518E"/>
    <w:rsid w:val="00336351"/>
    <w:rsid w:val="00336459"/>
    <w:rsid w:val="00340C76"/>
    <w:rsid w:val="00342E16"/>
    <w:rsid w:val="0034436B"/>
    <w:rsid w:val="003443ED"/>
    <w:rsid w:val="003454F8"/>
    <w:rsid w:val="0034618A"/>
    <w:rsid w:val="0034678E"/>
    <w:rsid w:val="00347602"/>
    <w:rsid w:val="00351108"/>
    <w:rsid w:val="00351F20"/>
    <w:rsid w:val="00355259"/>
    <w:rsid w:val="00357937"/>
    <w:rsid w:val="00360B7D"/>
    <w:rsid w:val="00361374"/>
    <w:rsid w:val="003636A6"/>
    <w:rsid w:val="00364543"/>
    <w:rsid w:val="00366551"/>
    <w:rsid w:val="0036732C"/>
    <w:rsid w:val="00370A65"/>
    <w:rsid w:val="003714EE"/>
    <w:rsid w:val="0037238A"/>
    <w:rsid w:val="003724FB"/>
    <w:rsid w:val="00375D2B"/>
    <w:rsid w:val="00377625"/>
    <w:rsid w:val="00377F11"/>
    <w:rsid w:val="00382AEB"/>
    <w:rsid w:val="00383A74"/>
    <w:rsid w:val="0038434A"/>
    <w:rsid w:val="00385AAE"/>
    <w:rsid w:val="00386632"/>
    <w:rsid w:val="003874C8"/>
    <w:rsid w:val="003877F1"/>
    <w:rsid w:val="003904F0"/>
    <w:rsid w:val="00391039"/>
    <w:rsid w:val="00392F77"/>
    <w:rsid w:val="00397328"/>
    <w:rsid w:val="003A23ED"/>
    <w:rsid w:val="003A245D"/>
    <w:rsid w:val="003A444A"/>
    <w:rsid w:val="003A4A4F"/>
    <w:rsid w:val="003A7F58"/>
    <w:rsid w:val="003A7FD3"/>
    <w:rsid w:val="003B0CA4"/>
    <w:rsid w:val="003B3773"/>
    <w:rsid w:val="003B6E4D"/>
    <w:rsid w:val="003B7210"/>
    <w:rsid w:val="003C2264"/>
    <w:rsid w:val="003C24FF"/>
    <w:rsid w:val="003C3284"/>
    <w:rsid w:val="003C3AA5"/>
    <w:rsid w:val="003C3BF3"/>
    <w:rsid w:val="003D09CD"/>
    <w:rsid w:val="003E0BB5"/>
    <w:rsid w:val="003E11F9"/>
    <w:rsid w:val="003E46F9"/>
    <w:rsid w:val="003E67BF"/>
    <w:rsid w:val="003E6FF4"/>
    <w:rsid w:val="003E7FBC"/>
    <w:rsid w:val="003F2089"/>
    <w:rsid w:val="003F7618"/>
    <w:rsid w:val="003F7DE9"/>
    <w:rsid w:val="0040332A"/>
    <w:rsid w:val="00404631"/>
    <w:rsid w:val="00406409"/>
    <w:rsid w:val="00406D19"/>
    <w:rsid w:val="004105A1"/>
    <w:rsid w:val="00411022"/>
    <w:rsid w:val="00411396"/>
    <w:rsid w:val="00414884"/>
    <w:rsid w:val="00417ED3"/>
    <w:rsid w:val="004217C3"/>
    <w:rsid w:val="00422D68"/>
    <w:rsid w:val="004241AD"/>
    <w:rsid w:val="00424693"/>
    <w:rsid w:val="00424A7B"/>
    <w:rsid w:val="00425107"/>
    <w:rsid w:val="00425AC7"/>
    <w:rsid w:val="00432DF1"/>
    <w:rsid w:val="004341F8"/>
    <w:rsid w:val="00435464"/>
    <w:rsid w:val="00436088"/>
    <w:rsid w:val="0043621F"/>
    <w:rsid w:val="00441DAE"/>
    <w:rsid w:val="004428C4"/>
    <w:rsid w:val="00443003"/>
    <w:rsid w:val="0044344E"/>
    <w:rsid w:val="00443722"/>
    <w:rsid w:val="00443B6C"/>
    <w:rsid w:val="00445A58"/>
    <w:rsid w:val="00446253"/>
    <w:rsid w:val="004510E0"/>
    <w:rsid w:val="00451F0B"/>
    <w:rsid w:val="00453B09"/>
    <w:rsid w:val="00453C47"/>
    <w:rsid w:val="0046071D"/>
    <w:rsid w:val="00460D5C"/>
    <w:rsid w:val="004624BC"/>
    <w:rsid w:val="00463783"/>
    <w:rsid w:val="00463F9F"/>
    <w:rsid w:val="00464C3A"/>
    <w:rsid w:val="00465102"/>
    <w:rsid w:val="00466134"/>
    <w:rsid w:val="00467EA0"/>
    <w:rsid w:val="00475AE6"/>
    <w:rsid w:val="00476B48"/>
    <w:rsid w:val="004774FB"/>
    <w:rsid w:val="004810CF"/>
    <w:rsid w:val="00483018"/>
    <w:rsid w:val="00486021"/>
    <w:rsid w:val="00491342"/>
    <w:rsid w:val="00491524"/>
    <w:rsid w:val="00491CF0"/>
    <w:rsid w:val="004926F4"/>
    <w:rsid w:val="00493908"/>
    <w:rsid w:val="004940DC"/>
    <w:rsid w:val="00497CD2"/>
    <w:rsid w:val="004A2D9C"/>
    <w:rsid w:val="004A549E"/>
    <w:rsid w:val="004A59BA"/>
    <w:rsid w:val="004B13BD"/>
    <w:rsid w:val="004B3DB9"/>
    <w:rsid w:val="004B41F5"/>
    <w:rsid w:val="004B7295"/>
    <w:rsid w:val="004B79B4"/>
    <w:rsid w:val="004B7FD9"/>
    <w:rsid w:val="004C0B48"/>
    <w:rsid w:val="004C0B70"/>
    <w:rsid w:val="004C1A79"/>
    <w:rsid w:val="004C30E9"/>
    <w:rsid w:val="004C3581"/>
    <w:rsid w:val="004C56C4"/>
    <w:rsid w:val="004C6096"/>
    <w:rsid w:val="004D42C7"/>
    <w:rsid w:val="004D4D38"/>
    <w:rsid w:val="004D63E0"/>
    <w:rsid w:val="004D783B"/>
    <w:rsid w:val="004D7D32"/>
    <w:rsid w:val="004E287A"/>
    <w:rsid w:val="004E2ACB"/>
    <w:rsid w:val="004E38B8"/>
    <w:rsid w:val="004E5BB3"/>
    <w:rsid w:val="004E7531"/>
    <w:rsid w:val="004F2A5B"/>
    <w:rsid w:val="004F52A9"/>
    <w:rsid w:val="004F69E6"/>
    <w:rsid w:val="00500AE9"/>
    <w:rsid w:val="005010F0"/>
    <w:rsid w:val="00502C28"/>
    <w:rsid w:val="00503485"/>
    <w:rsid w:val="00504740"/>
    <w:rsid w:val="0050556B"/>
    <w:rsid w:val="00506F91"/>
    <w:rsid w:val="0051357D"/>
    <w:rsid w:val="00513A49"/>
    <w:rsid w:val="00513B9C"/>
    <w:rsid w:val="005140F1"/>
    <w:rsid w:val="00514C53"/>
    <w:rsid w:val="00514DB5"/>
    <w:rsid w:val="00515766"/>
    <w:rsid w:val="0052196C"/>
    <w:rsid w:val="00524040"/>
    <w:rsid w:val="00530DAA"/>
    <w:rsid w:val="005327C1"/>
    <w:rsid w:val="00532E2D"/>
    <w:rsid w:val="00533933"/>
    <w:rsid w:val="00533BA6"/>
    <w:rsid w:val="005357E0"/>
    <w:rsid w:val="00536073"/>
    <w:rsid w:val="00537499"/>
    <w:rsid w:val="00540356"/>
    <w:rsid w:val="0054190C"/>
    <w:rsid w:val="00542108"/>
    <w:rsid w:val="00542754"/>
    <w:rsid w:val="00544DF8"/>
    <w:rsid w:val="0055061A"/>
    <w:rsid w:val="00551166"/>
    <w:rsid w:val="00552448"/>
    <w:rsid w:val="005533FB"/>
    <w:rsid w:val="00553F6C"/>
    <w:rsid w:val="005568CB"/>
    <w:rsid w:val="00563EBB"/>
    <w:rsid w:val="0056475E"/>
    <w:rsid w:val="00564CE7"/>
    <w:rsid w:val="00564E47"/>
    <w:rsid w:val="00566634"/>
    <w:rsid w:val="00566CFA"/>
    <w:rsid w:val="0057151B"/>
    <w:rsid w:val="00571901"/>
    <w:rsid w:val="00572D5B"/>
    <w:rsid w:val="00575305"/>
    <w:rsid w:val="00580381"/>
    <w:rsid w:val="0058083B"/>
    <w:rsid w:val="00580F25"/>
    <w:rsid w:val="00581857"/>
    <w:rsid w:val="00582D17"/>
    <w:rsid w:val="0058486E"/>
    <w:rsid w:val="00584A58"/>
    <w:rsid w:val="005851E9"/>
    <w:rsid w:val="005863E4"/>
    <w:rsid w:val="00586626"/>
    <w:rsid w:val="00586BA9"/>
    <w:rsid w:val="00591679"/>
    <w:rsid w:val="00591D7B"/>
    <w:rsid w:val="005924E8"/>
    <w:rsid w:val="00593A10"/>
    <w:rsid w:val="00594C5C"/>
    <w:rsid w:val="005960A4"/>
    <w:rsid w:val="005A1BC4"/>
    <w:rsid w:val="005A27A9"/>
    <w:rsid w:val="005A2AE0"/>
    <w:rsid w:val="005A6B26"/>
    <w:rsid w:val="005B1E27"/>
    <w:rsid w:val="005B1F16"/>
    <w:rsid w:val="005B4195"/>
    <w:rsid w:val="005B5CFE"/>
    <w:rsid w:val="005C059A"/>
    <w:rsid w:val="005C0C4E"/>
    <w:rsid w:val="005C0CDA"/>
    <w:rsid w:val="005C11E9"/>
    <w:rsid w:val="005C122D"/>
    <w:rsid w:val="005C2B0D"/>
    <w:rsid w:val="005C44DA"/>
    <w:rsid w:val="005C487D"/>
    <w:rsid w:val="005C6211"/>
    <w:rsid w:val="005D01FE"/>
    <w:rsid w:val="005D3FB6"/>
    <w:rsid w:val="005D4742"/>
    <w:rsid w:val="005E0577"/>
    <w:rsid w:val="005E078D"/>
    <w:rsid w:val="005E2B89"/>
    <w:rsid w:val="005E7BAB"/>
    <w:rsid w:val="005F0890"/>
    <w:rsid w:val="005F158F"/>
    <w:rsid w:val="005F1A9A"/>
    <w:rsid w:val="005F228F"/>
    <w:rsid w:val="005F2746"/>
    <w:rsid w:val="005F43AD"/>
    <w:rsid w:val="00603619"/>
    <w:rsid w:val="00604D0C"/>
    <w:rsid w:val="00605410"/>
    <w:rsid w:val="006055C8"/>
    <w:rsid w:val="00606096"/>
    <w:rsid w:val="00606E2F"/>
    <w:rsid w:val="006139F4"/>
    <w:rsid w:val="00614A99"/>
    <w:rsid w:val="00616220"/>
    <w:rsid w:val="0061757F"/>
    <w:rsid w:val="00617823"/>
    <w:rsid w:val="00620F75"/>
    <w:rsid w:val="00623FFD"/>
    <w:rsid w:val="00625C3F"/>
    <w:rsid w:val="00626652"/>
    <w:rsid w:val="00627512"/>
    <w:rsid w:val="00627DC6"/>
    <w:rsid w:val="006314CF"/>
    <w:rsid w:val="006341D1"/>
    <w:rsid w:val="006371B3"/>
    <w:rsid w:val="0064172A"/>
    <w:rsid w:val="006418EF"/>
    <w:rsid w:val="006518C3"/>
    <w:rsid w:val="0065306B"/>
    <w:rsid w:val="006535B0"/>
    <w:rsid w:val="006542A4"/>
    <w:rsid w:val="00656C46"/>
    <w:rsid w:val="006606FC"/>
    <w:rsid w:val="00671AFD"/>
    <w:rsid w:val="00674E68"/>
    <w:rsid w:val="00675569"/>
    <w:rsid w:val="006760BE"/>
    <w:rsid w:val="006768BD"/>
    <w:rsid w:val="0067752D"/>
    <w:rsid w:val="0067756C"/>
    <w:rsid w:val="00677599"/>
    <w:rsid w:val="006775E6"/>
    <w:rsid w:val="00677754"/>
    <w:rsid w:val="00681BC1"/>
    <w:rsid w:val="00683113"/>
    <w:rsid w:val="0068377E"/>
    <w:rsid w:val="00686823"/>
    <w:rsid w:val="006879AE"/>
    <w:rsid w:val="006901E8"/>
    <w:rsid w:val="0069182B"/>
    <w:rsid w:val="0069213C"/>
    <w:rsid w:val="006932B9"/>
    <w:rsid w:val="0069557D"/>
    <w:rsid w:val="00696497"/>
    <w:rsid w:val="006A118C"/>
    <w:rsid w:val="006A2DD2"/>
    <w:rsid w:val="006A451E"/>
    <w:rsid w:val="006A5A29"/>
    <w:rsid w:val="006A6239"/>
    <w:rsid w:val="006A6839"/>
    <w:rsid w:val="006A6878"/>
    <w:rsid w:val="006A78C6"/>
    <w:rsid w:val="006B1C2E"/>
    <w:rsid w:val="006B2FEB"/>
    <w:rsid w:val="006B4022"/>
    <w:rsid w:val="006B5160"/>
    <w:rsid w:val="006B5E1E"/>
    <w:rsid w:val="006B619C"/>
    <w:rsid w:val="006B683F"/>
    <w:rsid w:val="006C77F4"/>
    <w:rsid w:val="006D07A5"/>
    <w:rsid w:val="006D2AC6"/>
    <w:rsid w:val="006D3D1E"/>
    <w:rsid w:val="006D45B4"/>
    <w:rsid w:val="006D472F"/>
    <w:rsid w:val="006D4A5D"/>
    <w:rsid w:val="006D6F82"/>
    <w:rsid w:val="006E14A5"/>
    <w:rsid w:val="006E4337"/>
    <w:rsid w:val="006E66FD"/>
    <w:rsid w:val="006E70D9"/>
    <w:rsid w:val="006E741E"/>
    <w:rsid w:val="006F09F3"/>
    <w:rsid w:val="006F37D0"/>
    <w:rsid w:val="006F59F9"/>
    <w:rsid w:val="00701A76"/>
    <w:rsid w:val="007022B2"/>
    <w:rsid w:val="00702A5D"/>
    <w:rsid w:val="00702AE9"/>
    <w:rsid w:val="00707BF4"/>
    <w:rsid w:val="007147EC"/>
    <w:rsid w:val="00714EDE"/>
    <w:rsid w:val="0071591E"/>
    <w:rsid w:val="00716706"/>
    <w:rsid w:val="00727149"/>
    <w:rsid w:val="0073051C"/>
    <w:rsid w:val="00730ACE"/>
    <w:rsid w:val="00733FD4"/>
    <w:rsid w:val="007354F4"/>
    <w:rsid w:val="007357F6"/>
    <w:rsid w:val="0073681A"/>
    <w:rsid w:val="007408E6"/>
    <w:rsid w:val="00741638"/>
    <w:rsid w:val="0074387F"/>
    <w:rsid w:val="007439D4"/>
    <w:rsid w:val="00743C1C"/>
    <w:rsid w:val="00750403"/>
    <w:rsid w:val="00751A70"/>
    <w:rsid w:val="00755512"/>
    <w:rsid w:val="00755A38"/>
    <w:rsid w:val="007563EC"/>
    <w:rsid w:val="007566FF"/>
    <w:rsid w:val="00764C47"/>
    <w:rsid w:val="00766A4F"/>
    <w:rsid w:val="007679C0"/>
    <w:rsid w:val="0077120E"/>
    <w:rsid w:val="00771760"/>
    <w:rsid w:val="0077242D"/>
    <w:rsid w:val="0077359F"/>
    <w:rsid w:val="007735ED"/>
    <w:rsid w:val="007736AF"/>
    <w:rsid w:val="00773CC5"/>
    <w:rsid w:val="00776434"/>
    <w:rsid w:val="00776A9E"/>
    <w:rsid w:val="00776E58"/>
    <w:rsid w:val="0078253E"/>
    <w:rsid w:val="007860BB"/>
    <w:rsid w:val="007874D4"/>
    <w:rsid w:val="00790999"/>
    <w:rsid w:val="00794D78"/>
    <w:rsid w:val="007963F3"/>
    <w:rsid w:val="007971A6"/>
    <w:rsid w:val="00797E12"/>
    <w:rsid w:val="007A0D33"/>
    <w:rsid w:val="007A2DCA"/>
    <w:rsid w:val="007A3096"/>
    <w:rsid w:val="007A4A38"/>
    <w:rsid w:val="007A5C42"/>
    <w:rsid w:val="007B0D19"/>
    <w:rsid w:val="007B1E88"/>
    <w:rsid w:val="007B2180"/>
    <w:rsid w:val="007B287A"/>
    <w:rsid w:val="007C0704"/>
    <w:rsid w:val="007C4A55"/>
    <w:rsid w:val="007C6145"/>
    <w:rsid w:val="007C6E27"/>
    <w:rsid w:val="007C6FC4"/>
    <w:rsid w:val="007C7317"/>
    <w:rsid w:val="007C7957"/>
    <w:rsid w:val="007D077C"/>
    <w:rsid w:val="007D4426"/>
    <w:rsid w:val="007D4520"/>
    <w:rsid w:val="007D4E6F"/>
    <w:rsid w:val="007D58E3"/>
    <w:rsid w:val="007D5CD4"/>
    <w:rsid w:val="007E3787"/>
    <w:rsid w:val="007E4D76"/>
    <w:rsid w:val="007F0BD1"/>
    <w:rsid w:val="007F3270"/>
    <w:rsid w:val="007F3DE4"/>
    <w:rsid w:val="007F5B37"/>
    <w:rsid w:val="007F68D7"/>
    <w:rsid w:val="00800120"/>
    <w:rsid w:val="0080187E"/>
    <w:rsid w:val="008025DB"/>
    <w:rsid w:val="0080547A"/>
    <w:rsid w:val="0080753D"/>
    <w:rsid w:val="0081142A"/>
    <w:rsid w:val="008116CE"/>
    <w:rsid w:val="008143F4"/>
    <w:rsid w:val="00815762"/>
    <w:rsid w:val="008163DD"/>
    <w:rsid w:val="00816456"/>
    <w:rsid w:val="00816529"/>
    <w:rsid w:val="00817648"/>
    <w:rsid w:val="00817F3B"/>
    <w:rsid w:val="00820B46"/>
    <w:rsid w:val="008217A1"/>
    <w:rsid w:val="00821B34"/>
    <w:rsid w:val="008228B2"/>
    <w:rsid w:val="00823718"/>
    <w:rsid w:val="00824A41"/>
    <w:rsid w:val="00824C25"/>
    <w:rsid w:val="00832116"/>
    <w:rsid w:val="00833F70"/>
    <w:rsid w:val="0083485B"/>
    <w:rsid w:val="00834919"/>
    <w:rsid w:val="0083534E"/>
    <w:rsid w:val="0083555A"/>
    <w:rsid w:val="00837AC2"/>
    <w:rsid w:val="00840DAE"/>
    <w:rsid w:val="00841F09"/>
    <w:rsid w:val="00843C47"/>
    <w:rsid w:val="00845FB3"/>
    <w:rsid w:val="00851E58"/>
    <w:rsid w:val="00853EC0"/>
    <w:rsid w:val="008545E4"/>
    <w:rsid w:val="00854654"/>
    <w:rsid w:val="00855C86"/>
    <w:rsid w:val="008563FE"/>
    <w:rsid w:val="0085688E"/>
    <w:rsid w:val="00862D03"/>
    <w:rsid w:val="008633CB"/>
    <w:rsid w:val="00863881"/>
    <w:rsid w:val="00863CCE"/>
    <w:rsid w:val="00864DCC"/>
    <w:rsid w:val="00867432"/>
    <w:rsid w:val="00873049"/>
    <w:rsid w:val="008736BB"/>
    <w:rsid w:val="00873AFF"/>
    <w:rsid w:val="00886175"/>
    <w:rsid w:val="00892594"/>
    <w:rsid w:val="00895949"/>
    <w:rsid w:val="00895B26"/>
    <w:rsid w:val="008964CA"/>
    <w:rsid w:val="008A20E0"/>
    <w:rsid w:val="008A443F"/>
    <w:rsid w:val="008A4EBF"/>
    <w:rsid w:val="008A5BAD"/>
    <w:rsid w:val="008A62C7"/>
    <w:rsid w:val="008B0419"/>
    <w:rsid w:val="008B09DB"/>
    <w:rsid w:val="008B3844"/>
    <w:rsid w:val="008B3C40"/>
    <w:rsid w:val="008B5114"/>
    <w:rsid w:val="008B5AA3"/>
    <w:rsid w:val="008B61C2"/>
    <w:rsid w:val="008C1EF9"/>
    <w:rsid w:val="008C4E46"/>
    <w:rsid w:val="008C6367"/>
    <w:rsid w:val="008C6D71"/>
    <w:rsid w:val="008D28E5"/>
    <w:rsid w:val="008D4E43"/>
    <w:rsid w:val="008E195C"/>
    <w:rsid w:val="008E25AA"/>
    <w:rsid w:val="008E43E1"/>
    <w:rsid w:val="008E7AC5"/>
    <w:rsid w:val="008F55B9"/>
    <w:rsid w:val="00900E3D"/>
    <w:rsid w:val="00901121"/>
    <w:rsid w:val="0090628A"/>
    <w:rsid w:val="00906441"/>
    <w:rsid w:val="00911BED"/>
    <w:rsid w:val="00912E5C"/>
    <w:rsid w:val="00916193"/>
    <w:rsid w:val="009165DB"/>
    <w:rsid w:val="00924F9F"/>
    <w:rsid w:val="0092739B"/>
    <w:rsid w:val="00935044"/>
    <w:rsid w:val="009352AB"/>
    <w:rsid w:val="00936B66"/>
    <w:rsid w:val="009373EB"/>
    <w:rsid w:val="009418D5"/>
    <w:rsid w:val="00944EEA"/>
    <w:rsid w:val="009462F8"/>
    <w:rsid w:val="009473E9"/>
    <w:rsid w:val="00951339"/>
    <w:rsid w:val="00952A1E"/>
    <w:rsid w:val="00953005"/>
    <w:rsid w:val="0095517A"/>
    <w:rsid w:val="0095627E"/>
    <w:rsid w:val="00957998"/>
    <w:rsid w:val="00962189"/>
    <w:rsid w:val="00963FA3"/>
    <w:rsid w:val="009650DB"/>
    <w:rsid w:val="009669A8"/>
    <w:rsid w:val="00967778"/>
    <w:rsid w:val="00971D89"/>
    <w:rsid w:val="00971E00"/>
    <w:rsid w:val="009723F6"/>
    <w:rsid w:val="00976D1A"/>
    <w:rsid w:val="00980F80"/>
    <w:rsid w:val="009819E1"/>
    <w:rsid w:val="0098391B"/>
    <w:rsid w:val="00984112"/>
    <w:rsid w:val="009873EF"/>
    <w:rsid w:val="00990B43"/>
    <w:rsid w:val="00990C2E"/>
    <w:rsid w:val="009917B1"/>
    <w:rsid w:val="009941C3"/>
    <w:rsid w:val="00994401"/>
    <w:rsid w:val="009A1AE4"/>
    <w:rsid w:val="009A3155"/>
    <w:rsid w:val="009A3B52"/>
    <w:rsid w:val="009A5B80"/>
    <w:rsid w:val="009A70AF"/>
    <w:rsid w:val="009B06D8"/>
    <w:rsid w:val="009B3853"/>
    <w:rsid w:val="009C19AD"/>
    <w:rsid w:val="009C3187"/>
    <w:rsid w:val="009C6214"/>
    <w:rsid w:val="009C7987"/>
    <w:rsid w:val="009D039D"/>
    <w:rsid w:val="009D40C6"/>
    <w:rsid w:val="009D49BF"/>
    <w:rsid w:val="009E5C57"/>
    <w:rsid w:val="009E6969"/>
    <w:rsid w:val="009F0613"/>
    <w:rsid w:val="009F0EFA"/>
    <w:rsid w:val="009F358F"/>
    <w:rsid w:val="009F46C4"/>
    <w:rsid w:val="009F5711"/>
    <w:rsid w:val="009F7340"/>
    <w:rsid w:val="009F793E"/>
    <w:rsid w:val="009F7BA2"/>
    <w:rsid w:val="00A03073"/>
    <w:rsid w:val="00A03640"/>
    <w:rsid w:val="00A03A95"/>
    <w:rsid w:val="00A03FEE"/>
    <w:rsid w:val="00A044CC"/>
    <w:rsid w:val="00A05461"/>
    <w:rsid w:val="00A0696D"/>
    <w:rsid w:val="00A10C9B"/>
    <w:rsid w:val="00A129DF"/>
    <w:rsid w:val="00A16967"/>
    <w:rsid w:val="00A16B0D"/>
    <w:rsid w:val="00A16B55"/>
    <w:rsid w:val="00A20EFB"/>
    <w:rsid w:val="00A21BD6"/>
    <w:rsid w:val="00A2247E"/>
    <w:rsid w:val="00A24604"/>
    <w:rsid w:val="00A249CC"/>
    <w:rsid w:val="00A25FBE"/>
    <w:rsid w:val="00A27F5E"/>
    <w:rsid w:val="00A32C78"/>
    <w:rsid w:val="00A33313"/>
    <w:rsid w:val="00A35D8D"/>
    <w:rsid w:val="00A36154"/>
    <w:rsid w:val="00A36AEE"/>
    <w:rsid w:val="00A37F70"/>
    <w:rsid w:val="00A42562"/>
    <w:rsid w:val="00A43B8F"/>
    <w:rsid w:val="00A4516F"/>
    <w:rsid w:val="00A4520F"/>
    <w:rsid w:val="00A459B6"/>
    <w:rsid w:val="00A45CF6"/>
    <w:rsid w:val="00A46DB7"/>
    <w:rsid w:val="00A50037"/>
    <w:rsid w:val="00A50CDD"/>
    <w:rsid w:val="00A54ED3"/>
    <w:rsid w:val="00A551A2"/>
    <w:rsid w:val="00A56BA1"/>
    <w:rsid w:val="00A5759A"/>
    <w:rsid w:val="00A579CF"/>
    <w:rsid w:val="00A622AF"/>
    <w:rsid w:val="00A64FF2"/>
    <w:rsid w:val="00A66246"/>
    <w:rsid w:val="00A677F1"/>
    <w:rsid w:val="00A67BB0"/>
    <w:rsid w:val="00A730BF"/>
    <w:rsid w:val="00A73ADF"/>
    <w:rsid w:val="00A74FE3"/>
    <w:rsid w:val="00A75AE6"/>
    <w:rsid w:val="00A77BD7"/>
    <w:rsid w:val="00A77F5B"/>
    <w:rsid w:val="00A80EF5"/>
    <w:rsid w:val="00A84A73"/>
    <w:rsid w:val="00A86382"/>
    <w:rsid w:val="00A904A0"/>
    <w:rsid w:val="00A90530"/>
    <w:rsid w:val="00A9185F"/>
    <w:rsid w:val="00A91903"/>
    <w:rsid w:val="00A92784"/>
    <w:rsid w:val="00A92884"/>
    <w:rsid w:val="00A92E9E"/>
    <w:rsid w:val="00A9318F"/>
    <w:rsid w:val="00A9634B"/>
    <w:rsid w:val="00A97263"/>
    <w:rsid w:val="00A97804"/>
    <w:rsid w:val="00AA47C4"/>
    <w:rsid w:val="00AA7A7F"/>
    <w:rsid w:val="00AB2233"/>
    <w:rsid w:val="00AB4182"/>
    <w:rsid w:val="00AB725F"/>
    <w:rsid w:val="00AC0E11"/>
    <w:rsid w:val="00AC176B"/>
    <w:rsid w:val="00AC319B"/>
    <w:rsid w:val="00AC3F1B"/>
    <w:rsid w:val="00AC4339"/>
    <w:rsid w:val="00AC58D4"/>
    <w:rsid w:val="00AC6949"/>
    <w:rsid w:val="00AC7414"/>
    <w:rsid w:val="00AC7C78"/>
    <w:rsid w:val="00AD0439"/>
    <w:rsid w:val="00AD0AA4"/>
    <w:rsid w:val="00AD1FF7"/>
    <w:rsid w:val="00AD4052"/>
    <w:rsid w:val="00AD53A0"/>
    <w:rsid w:val="00AD5E60"/>
    <w:rsid w:val="00AE1D32"/>
    <w:rsid w:val="00AE222C"/>
    <w:rsid w:val="00AE4B78"/>
    <w:rsid w:val="00AE5758"/>
    <w:rsid w:val="00AF01C5"/>
    <w:rsid w:val="00AF030E"/>
    <w:rsid w:val="00AF0B93"/>
    <w:rsid w:val="00AF16B1"/>
    <w:rsid w:val="00AF4B85"/>
    <w:rsid w:val="00AF5F5E"/>
    <w:rsid w:val="00B003D6"/>
    <w:rsid w:val="00B009C5"/>
    <w:rsid w:val="00B062B8"/>
    <w:rsid w:val="00B06DAC"/>
    <w:rsid w:val="00B112AF"/>
    <w:rsid w:val="00B1198C"/>
    <w:rsid w:val="00B134E6"/>
    <w:rsid w:val="00B145EC"/>
    <w:rsid w:val="00B168B9"/>
    <w:rsid w:val="00B16AD5"/>
    <w:rsid w:val="00B16D17"/>
    <w:rsid w:val="00B17CE1"/>
    <w:rsid w:val="00B17DE4"/>
    <w:rsid w:val="00B2022F"/>
    <w:rsid w:val="00B20812"/>
    <w:rsid w:val="00B220DD"/>
    <w:rsid w:val="00B225F2"/>
    <w:rsid w:val="00B27428"/>
    <w:rsid w:val="00B30105"/>
    <w:rsid w:val="00B32EFF"/>
    <w:rsid w:val="00B376B5"/>
    <w:rsid w:val="00B37B90"/>
    <w:rsid w:val="00B37E42"/>
    <w:rsid w:val="00B4079D"/>
    <w:rsid w:val="00B433D8"/>
    <w:rsid w:val="00B43885"/>
    <w:rsid w:val="00B4621B"/>
    <w:rsid w:val="00B4717A"/>
    <w:rsid w:val="00B521DE"/>
    <w:rsid w:val="00B52A06"/>
    <w:rsid w:val="00B54C1B"/>
    <w:rsid w:val="00B559D2"/>
    <w:rsid w:val="00B56C59"/>
    <w:rsid w:val="00B56D6A"/>
    <w:rsid w:val="00B6006A"/>
    <w:rsid w:val="00B60D05"/>
    <w:rsid w:val="00B615DB"/>
    <w:rsid w:val="00B6213D"/>
    <w:rsid w:val="00B655C7"/>
    <w:rsid w:val="00B70380"/>
    <w:rsid w:val="00B715B1"/>
    <w:rsid w:val="00B745D8"/>
    <w:rsid w:val="00B75958"/>
    <w:rsid w:val="00B85583"/>
    <w:rsid w:val="00B86E6A"/>
    <w:rsid w:val="00B912F5"/>
    <w:rsid w:val="00B9338B"/>
    <w:rsid w:val="00B936D5"/>
    <w:rsid w:val="00B94863"/>
    <w:rsid w:val="00B94FCA"/>
    <w:rsid w:val="00BA03F4"/>
    <w:rsid w:val="00BA0651"/>
    <w:rsid w:val="00BA201E"/>
    <w:rsid w:val="00BA317A"/>
    <w:rsid w:val="00BA3D91"/>
    <w:rsid w:val="00BA40F0"/>
    <w:rsid w:val="00BA5D2D"/>
    <w:rsid w:val="00BA5EEA"/>
    <w:rsid w:val="00BA785E"/>
    <w:rsid w:val="00BA7D23"/>
    <w:rsid w:val="00BB0207"/>
    <w:rsid w:val="00BB1FE2"/>
    <w:rsid w:val="00BB243E"/>
    <w:rsid w:val="00BB6505"/>
    <w:rsid w:val="00BB6E79"/>
    <w:rsid w:val="00BB705E"/>
    <w:rsid w:val="00BC157A"/>
    <w:rsid w:val="00BC1942"/>
    <w:rsid w:val="00BD0418"/>
    <w:rsid w:val="00BD1150"/>
    <w:rsid w:val="00BD1DBD"/>
    <w:rsid w:val="00BD3B33"/>
    <w:rsid w:val="00BD3FA3"/>
    <w:rsid w:val="00BD61FB"/>
    <w:rsid w:val="00BE0C25"/>
    <w:rsid w:val="00BE1927"/>
    <w:rsid w:val="00BE1DCA"/>
    <w:rsid w:val="00BE303F"/>
    <w:rsid w:val="00BE3603"/>
    <w:rsid w:val="00BE3DFD"/>
    <w:rsid w:val="00BE6937"/>
    <w:rsid w:val="00BF03B8"/>
    <w:rsid w:val="00BF3C47"/>
    <w:rsid w:val="00BF4CA4"/>
    <w:rsid w:val="00BF4F7E"/>
    <w:rsid w:val="00BF6659"/>
    <w:rsid w:val="00C0023B"/>
    <w:rsid w:val="00C004D3"/>
    <w:rsid w:val="00C01F07"/>
    <w:rsid w:val="00C03BA8"/>
    <w:rsid w:val="00C10DFC"/>
    <w:rsid w:val="00C1440C"/>
    <w:rsid w:val="00C217C1"/>
    <w:rsid w:val="00C22749"/>
    <w:rsid w:val="00C2367E"/>
    <w:rsid w:val="00C24A72"/>
    <w:rsid w:val="00C25ACA"/>
    <w:rsid w:val="00C262F4"/>
    <w:rsid w:val="00C31092"/>
    <w:rsid w:val="00C31FB5"/>
    <w:rsid w:val="00C3206A"/>
    <w:rsid w:val="00C32E24"/>
    <w:rsid w:val="00C33541"/>
    <w:rsid w:val="00C33B34"/>
    <w:rsid w:val="00C37FCC"/>
    <w:rsid w:val="00C4067B"/>
    <w:rsid w:val="00C445D6"/>
    <w:rsid w:val="00C45DC4"/>
    <w:rsid w:val="00C5012B"/>
    <w:rsid w:val="00C51A0C"/>
    <w:rsid w:val="00C6454B"/>
    <w:rsid w:val="00C65155"/>
    <w:rsid w:val="00C6775F"/>
    <w:rsid w:val="00C67EF4"/>
    <w:rsid w:val="00C67FAE"/>
    <w:rsid w:val="00C711D6"/>
    <w:rsid w:val="00C715F5"/>
    <w:rsid w:val="00C7216F"/>
    <w:rsid w:val="00C72EC4"/>
    <w:rsid w:val="00C75A53"/>
    <w:rsid w:val="00C77810"/>
    <w:rsid w:val="00C81DEF"/>
    <w:rsid w:val="00C835EA"/>
    <w:rsid w:val="00C838F1"/>
    <w:rsid w:val="00C85DC6"/>
    <w:rsid w:val="00C86D6D"/>
    <w:rsid w:val="00C9115C"/>
    <w:rsid w:val="00C92BF9"/>
    <w:rsid w:val="00CA0707"/>
    <w:rsid w:val="00CA2824"/>
    <w:rsid w:val="00CA392A"/>
    <w:rsid w:val="00CA400F"/>
    <w:rsid w:val="00CA4EE5"/>
    <w:rsid w:val="00CA766A"/>
    <w:rsid w:val="00CB1D44"/>
    <w:rsid w:val="00CB1EAE"/>
    <w:rsid w:val="00CB276A"/>
    <w:rsid w:val="00CB4BB0"/>
    <w:rsid w:val="00CC1875"/>
    <w:rsid w:val="00CC1A3F"/>
    <w:rsid w:val="00CC2FA5"/>
    <w:rsid w:val="00CC6894"/>
    <w:rsid w:val="00CD0977"/>
    <w:rsid w:val="00CD0C4F"/>
    <w:rsid w:val="00CD3712"/>
    <w:rsid w:val="00CD38FC"/>
    <w:rsid w:val="00CD3C6A"/>
    <w:rsid w:val="00CD447E"/>
    <w:rsid w:val="00CD5480"/>
    <w:rsid w:val="00CD6C41"/>
    <w:rsid w:val="00CD7F6A"/>
    <w:rsid w:val="00CE0B2A"/>
    <w:rsid w:val="00CE0D96"/>
    <w:rsid w:val="00CE0E07"/>
    <w:rsid w:val="00CE1EBC"/>
    <w:rsid w:val="00CE241F"/>
    <w:rsid w:val="00CE2BD2"/>
    <w:rsid w:val="00CE2F94"/>
    <w:rsid w:val="00CE34CB"/>
    <w:rsid w:val="00CE36A2"/>
    <w:rsid w:val="00CE6F7B"/>
    <w:rsid w:val="00CE74B8"/>
    <w:rsid w:val="00CF12E9"/>
    <w:rsid w:val="00CF247B"/>
    <w:rsid w:val="00CF7810"/>
    <w:rsid w:val="00D019E9"/>
    <w:rsid w:val="00D01FBB"/>
    <w:rsid w:val="00D049E2"/>
    <w:rsid w:val="00D05A81"/>
    <w:rsid w:val="00D05C36"/>
    <w:rsid w:val="00D1059D"/>
    <w:rsid w:val="00D10AF5"/>
    <w:rsid w:val="00D111E0"/>
    <w:rsid w:val="00D11214"/>
    <w:rsid w:val="00D12A14"/>
    <w:rsid w:val="00D13B76"/>
    <w:rsid w:val="00D143D1"/>
    <w:rsid w:val="00D14D8A"/>
    <w:rsid w:val="00D14E84"/>
    <w:rsid w:val="00D151BD"/>
    <w:rsid w:val="00D15299"/>
    <w:rsid w:val="00D16BE4"/>
    <w:rsid w:val="00D20528"/>
    <w:rsid w:val="00D240B3"/>
    <w:rsid w:val="00D25276"/>
    <w:rsid w:val="00D25705"/>
    <w:rsid w:val="00D267A8"/>
    <w:rsid w:val="00D27A05"/>
    <w:rsid w:val="00D313D8"/>
    <w:rsid w:val="00D3267F"/>
    <w:rsid w:val="00D335BE"/>
    <w:rsid w:val="00D33F7C"/>
    <w:rsid w:val="00D35252"/>
    <w:rsid w:val="00D356CE"/>
    <w:rsid w:val="00D3748D"/>
    <w:rsid w:val="00D42593"/>
    <w:rsid w:val="00D427C5"/>
    <w:rsid w:val="00D5221B"/>
    <w:rsid w:val="00D52BB7"/>
    <w:rsid w:val="00D55F0D"/>
    <w:rsid w:val="00D5627D"/>
    <w:rsid w:val="00D56D93"/>
    <w:rsid w:val="00D57DA7"/>
    <w:rsid w:val="00D63C46"/>
    <w:rsid w:val="00D64797"/>
    <w:rsid w:val="00D64C28"/>
    <w:rsid w:val="00D65157"/>
    <w:rsid w:val="00D65D96"/>
    <w:rsid w:val="00D667A5"/>
    <w:rsid w:val="00D70208"/>
    <w:rsid w:val="00D71A0C"/>
    <w:rsid w:val="00D75098"/>
    <w:rsid w:val="00D7509D"/>
    <w:rsid w:val="00D7720D"/>
    <w:rsid w:val="00D80BC2"/>
    <w:rsid w:val="00D87FE7"/>
    <w:rsid w:val="00D929F5"/>
    <w:rsid w:val="00D93E0B"/>
    <w:rsid w:val="00D94BCD"/>
    <w:rsid w:val="00D97269"/>
    <w:rsid w:val="00D97783"/>
    <w:rsid w:val="00DA2653"/>
    <w:rsid w:val="00DA68BC"/>
    <w:rsid w:val="00DB215C"/>
    <w:rsid w:val="00DB2730"/>
    <w:rsid w:val="00DB31D0"/>
    <w:rsid w:val="00DB4813"/>
    <w:rsid w:val="00DB6917"/>
    <w:rsid w:val="00DB78BB"/>
    <w:rsid w:val="00DC36DF"/>
    <w:rsid w:val="00DC3C4E"/>
    <w:rsid w:val="00DC7AAF"/>
    <w:rsid w:val="00DD12DD"/>
    <w:rsid w:val="00DD1ECD"/>
    <w:rsid w:val="00DD2BAF"/>
    <w:rsid w:val="00DD2F16"/>
    <w:rsid w:val="00DD3CC2"/>
    <w:rsid w:val="00DD7E54"/>
    <w:rsid w:val="00DE00BA"/>
    <w:rsid w:val="00DE2F84"/>
    <w:rsid w:val="00DE3F54"/>
    <w:rsid w:val="00DE4AFE"/>
    <w:rsid w:val="00DE6992"/>
    <w:rsid w:val="00DE7631"/>
    <w:rsid w:val="00DF0F41"/>
    <w:rsid w:val="00DF2B0A"/>
    <w:rsid w:val="00DF47F2"/>
    <w:rsid w:val="00E00AD8"/>
    <w:rsid w:val="00E00BD0"/>
    <w:rsid w:val="00E0693A"/>
    <w:rsid w:val="00E07095"/>
    <w:rsid w:val="00E07E7A"/>
    <w:rsid w:val="00E10ED7"/>
    <w:rsid w:val="00E11A83"/>
    <w:rsid w:val="00E12606"/>
    <w:rsid w:val="00E1325F"/>
    <w:rsid w:val="00E145BD"/>
    <w:rsid w:val="00E1556A"/>
    <w:rsid w:val="00E16153"/>
    <w:rsid w:val="00E166D2"/>
    <w:rsid w:val="00E2180B"/>
    <w:rsid w:val="00E22552"/>
    <w:rsid w:val="00E22F12"/>
    <w:rsid w:val="00E23A6E"/>
    <w:rsid w:val="00E23A8E"/>
    <w:rsid w:val="00E262A7"/>
    <w:rsid w:val="00E26AF5"/>
    <w:rsid w:val="00E2700F"/>
    <w:rsid w:val="00E304D9"/>
    <w:rsid w:val="00E31302"/>
    <w:rsid w:val="00E32F8E"/>
    <w:rsid w:val="00E42D97"/>
    <w:rsid w:val="00E438EB"/>
    <w:rsid w:val="00E44983"/>
    <w:rsid w:val="00E449B2"/>
    <w:rsid w:val="00E45400"/>
    <w:rsid w:val="00E462B5"/>
    <w:rsid w:val="00E50889"/>
    <w:rsid w:val="00E5101E"/>
    <w:rsid w:val="00E566B5"/>
    <w:rsid w:val="00E600E0"/>
    <w:rsid w:val="00E62451"/>
    <w:rsid w:val="00E62D29"/>
    <w:rsid w:val="00E632BF"/>
    <w:rsid w:val="00E71DA3"/>
    <w:rsid w:val="00E72381"/>
    <w:rsid w:val="00E72767"/>
    <w:rsid w:val="00E729EB"/>
    <w:rsid w:val="00E73AEB"/>
    <w:rsid w:val="00E76E37"/>
    <w:rsid w:val="00E81B6E"/>
    <w:rsid w:val="00E8273B"/>
    <w:rsid w:val="00E86F78"/>
    <w:rsid w:val="00E91667"/>
    <w:rsid w:val="00E927F8"/>
    <w:rsid w:val="00E93810"/>
    <w:rsid w:val="00E9481A"/>
    <w:rsid w:val="00EA07A2"/>
    <w:rsid w:val="00EA14E5"/>
    <w:rsid w:val="00EA5F67"/>
    <w:rsid w:val="00EB1930"/>
    <w:rsid w:val="00EB342A"/>
    <w:rsid w:val="00EB3C00"/>
    <w:rsid w:val="00EC0921"/>
    <w:rsid w:val="00EC4013"/>
    <w:rsid w:val="00EC4635"/>
    <w:rsid w:val="00EC7C80"/>
    <w:rsid w:val="00ED15DC"/>
    <w:rsid w:val="00ED1A48"/>
    <w:rsid w:val="00ED4546"/>
    <w:rsid w:val="00ED73EB"/>
    <w:rsid w:val="00ED7E68"/>
    <w:rsid w:val="00EE01FD"/>
    <w:rsid w:val="00EE0432"/>
    <w:rsid w:val="00EE1EB3"/>
    <w:rsid w:val="00EE40E9"/>
    <w:rsid w:val="00EE5611"/>
    <w:rsid w:val="00EE5C82"/>
    <w:rsid w:val="00EE5F13"/>
    <w:rsid w:val="00EE763F"/>
    <w:rsid w:val="00EE7A37"/>
    <w:rsid w:val="00EF1119"/>
    <w:rsid w:val="00EF6DE1"/>
    <w:rsid w:val="00EF6E2E"/>
    <w:rsid w:val="00F00AFC"/>
    <w:rsid w:val="00F029A2"/>
    <w:rsid w:val="00F06FE7"/>
    <w:rsid w:val="00F07246"/>
    <w:rsid w:val="00F0780B"/>
    <w:rsid w:val="00F07FD7"/>
    <w:rsid w:val="00F10F0D"/>
    <w:rsid w:val="00F1482F"/>
    <w:rsid w:val="00F16889"/>
    <w:rsid w:val="00F171ED"/>
    <w:rsid w:val="00F20545"/>
    <w:rsid w:val="00F207C1"/>
    <w:rsid w:val="00F227AD"/>
    <w:rsid w:val="00F249CB"/>
    <w:rsid w:val="00F24AA0"/>
    <w:rsid w:val="00F24C15"/>
    <w:rsid w:val="00F25B96"/>
    <w:rsid w:val="00F26854"/>
    <w:rsid w:val="00F27A63"/>
    <w:rsid w:val="00F3008E"/>
    <w:rsid w:val="00F3065E"/>
    <w:rsid w:val="00F403D6"/>
    <w:rsid w:val="00F41AC0"/>
    <w:rsid w:val="00F42066"/>
    <w:rsid w:val="00F4216D"/>
    <w:rsid w:val="00F425A6"/>
    <w:rsid w:val="00F470DD"/>
    <w:rsid w:val="00F47849"/>
    <w:rsid w:val="00F5007A"/>
    <w:rsid w:val="00F51875"/>
    <w:rsid w:val="00F519CD"/>
    <w:rsid w:val="00F53FD2"/>
    <w:rsid w:val="00F55107"/>
    <w:rsid w:val="00F5722E"/>
    <w:rsid w:val="00F57574"/>
    <w:rsid w:val="00F57BC0"/>
    <w:rsid w:val="00F57FE6"/>
    <w:rsid w:val="00F60600"/>
    <w:rsid w:val="00F66E50"/>
    <w:rsid w:val="00F67B7B"/>
    <w:rsid w:val="00F7061C"/>
    <w:rsid w:val="00F7391F"/>
    <w:rsid w:val="00F73E52"/>
    <w:rsid w:val="00F77346"/>
    <w:rsid w:val="00F8097C"/>
    <w:rsid w:val="00F8160A"/>
    <w:rsid w:val="00F82562"/>
    <w:rsid w:val="00F83735"/>
    <w:rsid w:val="00F845D4"/>
    <w:rsid w:val="00F856D5"/>
    <w:rsid w:val="00F86045"/>
    <w:rsid w:val="00F87947"/>
    <w:rsid w:val="00F90569"/>
    <w:rsid w:val="00F91400"/>
    <w:rsid w:val="00F91E45"/>
    <w:rsid w:val="00F957D8"/>
    <w:rsid w:val="00F975CC"/>
    <w:rsid w:val="00FA032C"/>
    <w:rsid w:val="00FA1739"/>
    <w:rsid w:val="00FA4464"/>
    <w:rsid w:val="00FA4B7B"/>
    <w:rsid w:val="00FA7326"/>
    <w:rsid w:val="00FA7855"/>
    <w:rsid w:val="00FB1850"/>
    <w:rsid w:val="00FB1972"/>
    <w:rsid w:val="00FB1ADF"/>
    <w:rsid w:val="00FB6324"/>
    <w:rsid w:val="00FC1EA3"/>
    <w:rsid w:val="00FC4352"/>
    <w:rsid w:val="00FC4579"/>
    <w:rsid w:val="00FC6083"/>
    <w:rsid w:val="00FD2E4F"/>
    <w:rsid w:val="00FD317F"/>
    <w:rsid w:val="00FD51F5"/>
    <w:rsid w:val="00FD5676"/>
    <w:rsid w:val="00FD58A0"/>
    <w:rsid w:val="00FD58EF"/>
    <w:rsid w:val="00FE1E6D"/>
    <w:rsid w:val="00FE25DB"/>
    <w:rsid w:val="00FE3F5E"/>
    <w:rsid w:val="00FE59FF"/>
    <w:rsid w:val="00FE60C3"/>
    <w:rsid w:val="00FE6E6A"/>
    <w:rsid w:val="00FF09DE"/>
    <w:rsid w:val="00FF38D7"/>
    <w:rsid w:val="00FF3E82"/>
    <w:rsid w:val="00FF44A1"/>
    <w:rsid w:val="00FF4AAD"/>
    <w:rsid w:val="00FF5662"/>
    <w:rsid w:val="00FF5D14"/>
    <w:rsid w:val="00FF6773"/>
    <w:rsid w:val="00FF680E"/>
    <w:rsid w:val="00FF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1C9DEE1"/>
  <w15:docId w15:val="{AC826D49-A0F7-4A27-A9BB-86F79501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2E"/>
    <w:rPr>
      <w:rFonts w:ascii="Arial" w:hAnsi="Arial" w:cs="Arial"/>
      <w:color w:val="000000"/>
      <w:sz w:val="24"/>
      <w:lang w:val="en-AU" w:eastAsia="el-GR"/>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Footnote Text Char2,Plonk,fn,Char,Footnote"/>
    <w:basedOn w:val="Normal"/>
    <w:uiPriority w:val="99"/>
    <w:qFormat/>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eastAsia="el-GR"/>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uiPriority w:val="99"/>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
    <w:uiPriority w:val="99"/>
    <w:qFormat/>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Revision">
    <w:name w:val="Revision"/>
    <w:hidden/>
    <w:uiPriority w:val="99"/>
    <w:semiHidden/>
    <w:rsid w:val="00207033"/>
    <w:rPr>
      <w:rFonts w:ascii="Arial" w:hAnsi="Arial" w:cs="Arial"/>
      <w:color w:val="000000"/>
      <w:sz w:val="24"/>
      <w:lang w:val="en-AU" w:eastAsia="el-GR"/>
    </w:rPr>
  </w:style>
  <w:style w:type="paragraph" w:styleId="ListParagraph">
    <w:name w:val="List Paragraph"/>
    <w:basedOn w:val="Normal"/>
    <w:uiPriority w:val="34"/>
    <w:qFormat/>
    <w:rsid w:val="00D143D1"/>
    <w:pPr>
      <w:ind w:left="720"/>
      <w:contextualSpacing/>
    </w:pPr>
  </w:style>
  <w:style w:type="character" w:styleId="UnresolvedMention">
    <w:name w:val="Unresolved Mention"/>
    <w:basedOn w:val="DefaultParagraphFont"/>
    <w:uiPriority w:val="99"/>
    <w:semiHidden/>
    <w:unhideWhenUsed/>
    <w:rsid w:val="00743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604793">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nkofgreece.gr/Publications/FINANCIAL_STABILITY_REVIEW_MAY_2025_E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DAA_Forms_Attachments" ma:contentTypeID="0x0101006B5553C3EDA2D84591F13E6AB83077FA00C87A7145E565F445B0CA423B74FC5B2A" ma:contentTypeVersion="3" ma:contentTypeDescription="" ma:contentTypeScope="" ma:versionID="426ed46f23fba6d401bfffd76bec7c62">
  <xsd:schema xmlns:xsd="http://www.w3.org/2001/XMLSchema" xmlns:xs="http://www.w3.org/2001/XMLSchema" xmlns:p="http://schemas.microsoft.com/office/2006/metadata/properties" xmlns:ns2="affbdc7b-1773-4a70-a615-fbfa6c8a3310" targetNamespace="http://schemas.microsoft.com/office/2006/metadata/properties" ma:root="true" ma:fieldsID="4f8381c84eb4b89c4c9560b5586531a7" ns2:_="">
    <xsd:import namespace="affbdc7b-1773-4a70-a615-fbfa6c8a3310"/>
    <xsd:element name="properties">
      <xsd:complexType>
        <xsd:sequence>
          <xsd:element name="documentManagement">
            <xsd:complexType>
              <xsd:all>
                <xsd:element ref="ns2:SHDAA_Request_ID" minOccurs="0"/>
                <xsd:element ref="ns2:SHDA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bdc7b-1773-4a70-a615-fbfa6c8a3310" elementFormDefault="qualified">
    <xsd:import namespace="http://schemas.microsoft.com/office/2006/documentManagement/types"/>
    <xsd:import namespace="http://schemas.microsoft.com/office/infopath/2007/PartnerControls"/>
    <xsd:element name="SHDAA_Request_ID" ma:index="8" nillable="true" ma:displayName="SHDAA_Request_ID" ma:internalName="SHDAA_Request_ID">
      <xsd:simpleType>
        <xsd:restriction base="dms:Text">
          <xsd:maxLength value="255"/>
        </xsd:restriction>
      </xsd:simpleType>
    </xsd:element>
    <xsd:element name="SHDAA_Title" ma:index="9" nillable="true" ma:displayName="SHDAA_Title" ma:internalName="SHDAA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DAA_Title xmlns="affbdc7b-1773-4a70-a615-fbfa6c8a3310" xsi:nil="true"/>
    <SHDAA_Request_ID xmlns="affbdc7b-1773-4a70-a615-fbfa6c8a33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57A6-7B50-49F1-987C-5908FAC5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bdc7b-1773-4a70-a615-fbfa6c8a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613C5-4005-427D-A27D-55C0354872DE}">
  <ds:schemaRefs>
    <ds:schemaRef ds:uri="http://schemas.microsoft.com/office/2006/metadata/properties"/>
    <ds:schemaRef ds:uri="http://schemas.microsoft.com/office/infopath/2007/PartnerControls"/>
    <ds:schemaRef ds:uri="affbdc7b-1773-4a70-a615-fbfa6c8a3310"/>
  </ds:schemaRefs>
</ds:datastoreItem>
</file>

<file path=customXml/itemProps3.xml><?xml version="1.0" encoding="utf-8"?>
<ds:datastoreItem xmlns:ds="http://schemas.openxmlformats.org/officeDocument/2006/customXml" ds:itemID="{51A90EFE-22D6-48F1-8A83-60B4FA5E194A}">
  <ds:schemaRefs>
    <ds:schemaRef ds:uri="http://schemas.microsoft.com/sharepoint/v3/contenttype/forms"/>
  </ds:schemaRefs>
</ds:datastoreItem>
</file>

<file path=customXml/itemProps4.xml><?xml version="1.0" encoding="utf-8"?>
<ds:datastoreItem xmlns:ds="http://schemas.openxmlformats.org/officeDocument/2006/customXml" ds:itemID="{3C27421F-0C79-42D6-8015-D1A176DD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698</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4464</CharactersWithSpaces>
  <SharedDoc>false</SharedDoc>
  <HLinks>
    <vt:vector size="12" baseType="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Kostomoudis Konstantine</dc:creator>
  <cp:lastModifiedBy>Marmarou Ioanna</cp:lastModifiedBy>
  <cp:revision>23</cp:revision>
  <cp:lastPrinted>2024-10-21T11:20:00Z</cp:lastPrinted>
  <dcterms:created xsi:type="dcterms:W3CDTF">2025-05-14T09:38:00Z</dcterms:created>
  <dcterms:modified xsi:type="dcterms:W3CDTF">2025-05-15T05:44:00Z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0x0101006B5553C3EDA2D84591F13E6AB83077FA00C87A7145E565F445B0CA423B74FC5B2A</vt:lpwstr>
  </property>
  <property fmtid="{D5CDD505-2E9C-101B-9397-08002B2CF9AE}" pid="3" name="MSIP_Label_2e64f240-1db5-4acf-9bde-572066689a31_Enabled">
    <vt:lpwstr>true</vt:lpwstr>
  </property>
  <property fmtid="{D5CDD505-2E9C-101B-9397-08002B2CF9AE}" pid="4" name="MSIP_Label_2e64f240-1db5-4acf-9bde-572066689a31_SetDate">
    <vt:lpwstr>2025-05-04T08:34:30Z</vt:lpwstr>
  </property>
  <property fmtid="{D5CDD505-2E9C-101B-9397-08002B2CF9AE}" pid="5" name="MSIP_Label_2e64f240-1db5-4acf-9bde-572066689a31_Method">
    <vt:lpwstr>Privileged</vt:lpwstr>
  </property>
  <property fmtid="{D5CDD505-2E9C-101B-9397-08002B2CF9AE}" pid="6" name="MSIP_Label_2e64f240-1db5-4acf-9bde-572066689a31_Name">
    <vt:lpwstr>ΧΩΡΙΣ ΧΑΡΑΚΤΗΡΙΣΜΟ ΑΣΦΑΛΕΙΑΣ</vt:lpwstr>
  </property>
  <property fmtid="{D5CDD505-2E9C-101B-9397-08002B2CF9AE}" pid="7" name="MSIP_Label_2e64f240-1db5-4acf-9bde-572066689a31_SiteId">
    <vt:lpwstr>dabae695-3d3b-4e5d-ab49-009605ba5c68</vt:lpwstr>
  </property>
  <property fmtid="{D5CDD505-2E9C-101B-9397-08002B2CF9AE}" pid="8" name="MSIP_Label_2e64f240-1db5-4acf-9bde-572066689a31_ActionId">
    <vt:lpwstr>7a482c68-0ba4-471b-8e9b-772644a6cf51</vt:lpwstr>
  </property>
  <property fmtid="{D5CDD505-2E9C-101B-9397-08002B2CF9AE}" pid="9" name="MSIP_Label_2e64f240-1db5-4acf-9bde-572066689a31_ContentBits">
    <vt:lpwstr>0</vt:lpwstr>
  </property>
  <property fmtid="{D5CDD505-2E9C-101B-9397-08002B2CF9AE}" pid="10" name="MSIP_Label_2e64f240-1db5-4acf-9bde-572066689a31_Tag">
    <vt:lpwstr>10, 0, 1, 1</vt:lpwstr>
  </property>
</Properties>
</file>